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lineRule="auto"/>
      </w:pPr>
      <w:r>
        <w:drawing>
          <wp:inline distT="0" distB="0" distL="0" distR="0">
            <wp:extent cx="14287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85775"/>
                    </a:xfrm>
                    <a:prstGeom prst="rect">
                      <a:avLst/>
                    </a:prstGeom>
                  </pic:spPr>
                </pic:pic>
              </a:graphicData>
            </a:graphic>
          </wp:inline>
        </w:drawing>
      </w:r>
    </w:p>
    <w:p>
      <w:pPr>
        <w:pStyle w:val="Title"/>
        <w:spacing w:after="80"/>
      </w:pPr>
      <w:r>
        <w:rPr>
          <w:rFonts w:ascii="Calibri" w:cs="Calibri" w:eastAsia="Calibri" w:hAnsi="Calibri"/>
          <w:b/>
          <w:bCs/>
          <w:color w:val="4A2018"/>
          <w:sz w:val="40"/>
          <w:szCs w:val="40"/>
        </w:rPr>
        <w:t xml:space="preserve">T2 · #05 Datos del mercado en números</w:t>
      </w:r>
    </w:p>
    <w:p>
      <w:pPr>
        <w:pBdr>
          <w:bottom w:val="single" w:color="BA4036" w:sz="8" w:space="6"/>
        </w:pBdr>
        <w:spacing w:after="120"/>
      </w:pPr>
      <w:r>
        <w:rPr>
          <w:i/>
          <w:iCs/>
          <w:color w:val="6B3A2A"/>
          <w:sz w:val="20"/>
          <w:szCs w:val="20"/>
        </w:rPr>
        <w:t xml:space="preserve">Responsable: Adela (Ade) Robles · Grupo 2 · AndiBite · Propuesta para revisar</w:t>
      </w:r>
    </w:p>
    <w:p>
      <w:pPr>
        <w:spacing w:after="120"/>
      </w:pPr>
      <w:r>
        <w:t xml:space="preserve">Este tema reúne los números del mercado de AndiBite: cuántos hogares hay, cuánto ganan, qué pasa con la anemia, cuánto pesan los octógonos, cuánto confían los padres y cómo se mueve el mercado de snacks y galletas. Los datos vienen del documento 04 (</w:t>
      </w:r>
      <w:r>
        <w:rPr>
          <w:rFonts w:ascii="Consolas" w:cs="Consolas" w:eastAsia="Consolas" w:hAnsi="Consolas"/>
          <w:color w:val="4A2018"/>
          <w:sz w:val="19"/>
          <w:szCs w:val="19"/>
        </w:rPr>
        <w:t xml:space="preserve">04-publico-objetivo-y-buyer-persona-con-datos.md</w:t>
      </w:r>
      <w:r>
        <w:t xml:space="preserve">), de HECHOS_v7 y de una verificación en la web hecha el 19 de octubre de 2026.</w:t>
      </w:r>
    </w:p>
    <w:p>
      <w:pPr>
        <w:spacing w:after="120"/>
      </w:pPr>
      <w:r>
        <w:rPr>
          <w:b/>
          <w:bCs/>
        </w:rPr>
        <w:t xml:space="preserve">Siglas.</w:t>
      </w:r>
      <w:r>
        <w:t xml:space="preserve"> IGV: impuesto general a las ventas. ENAHO: Encuesta Nacional de Hogares. MCLCP: Mesa de Concertación para la Lucha contra la Pobreza. INS-CENAN: Instituto Nacional de Salud, Centro Nacional de Alimentación y Nutrición. RM: resolución ministerial. SAM: mercado al que apuntamos (en inglés, serviceable available market). BCRP: Banco Central de Reserva del Perú. NSE: nivel socioeconómico (A es el más alto). APEIM: Asociación Peruana de Empresas de Inteligencia de Mercados. ENDES: Encuesta Demográfica y de Salud Familiar, del INEI. INEI: Instituto Nacional de Estadística e Informática. MINSA: Ministerio de Salud. OMS: Organización Mundial de la Salud. CPI: Compañía Peruana de Estudios de Mercados y Opinión Pública. Ipsos y Kantar: empresas de estudios de mercado. [HIPÓTESIS]: estimación del equipo con su supuesto. [POR CONFIRMAR]: dato que no se pudo verificar.</w:t>
      </w:r>
    </w:p>
    <w:p>
      <w:pPr>
        <w:pStyle w:val="Heading1"/>
      </w:pPr>
      <w:r>
        <w:t xml:space="preserve">1. Lo más importante en 6 líneas</w:t>
      </w:r>
    </w:p>
    <w:p>
      <w:pPr>
        <w:pStyle w:val="ListParagraph"/>
        <w:numPr>
          <w:ilvl w:val="0"/>
          <w:numId w:val="2"/>
        </w:numPr>
        <w:spacing w:after="60"/>
      </w:pPr>
      <w:r>
        <w:t xml:space="preserve">En Lima Metropolitana y Callao hay unos </w:t>
      </w:r>
      <w:r>
        <w:rPr>
          <w:b/>
          <w:bCs/>
        </w:rPr>
        <w:t xml:space="preserve">3.36 millones de hogares</w:t>
      </w:r>
      <w:r>
        <w:t xml:space="preserve">; el </w:t>
      </w:r>
      <w:r>
        <w:rPr>
          <w:b/>
          <w:bCs/>
        </w:rPr>
        <w:t xml:space="preserve">21.0 %</w:t>
      </w:r>
      <w:r>
        <w:t xml:space="preserve"> (706,053) es NSE A o B (APEIM 2025).</w:t>
      </w:r>
    </w:p>
    <w:p>
      <w:pPr>
        <w:pStyle w:val="ListParagraph"/>
        <w:numPr>
          <w:ilvl w:val="0"/>
          <w:numId w:val="2"/>
        </w:numPr>
        <w:spacing w:after="60"/>
      </w:pPr>
      <w:r>
        <w:t xml:space="preserve">El hogar A gana </w:t>
      </w:r>
      <w:r>
        <w:rPr>
          <w:b/>
          <w:bCs/>
        </w:rPr>
        <w:t xml:space="preserve">S/14,584</w:t>
      </w:r>
      <w:r>
        <w:t xml:space="preserve"> al mes, el B </w:t>
      </w:r>
      <w:r>
        <w:rPr>
          <w:b/>
          <w:bCs/>
        </w:rPr>
        <w:t xml:space="preserve">S/7,787</w:t>
      </w:r>
      <w:r>
        <w:t xml:space="preserve"> y el C </w:t>
      </w:r>
      <w:r>
        <w:rPr>
          <w:b/>
          <w:bCs/>
        </w:rPr>
        <w:t xml:space="preserve">S/4,180</w:t>
      </w:r>
      <w:r>
        <w:t xml:space="preserve">. Lo que distingue a A y B es cuánto invierten en educación y salud, no cuánto comen.</w:t>
      </w:r>
    </w:p>
    <w:p>
      <w:pPr>
        <w:pStyle w:val="ListParagraph"/>
        <w:numPr>
          <w:ilvl w:val="0"/>
          <w:numId w:val="2"/>
        </w:numPr>
        <w:spacing w:after="60"/>
      </w:pPr>
      <w:r>
        <w:t xml:space="preserve">El mercado al que apuntamos son </w:t>
      </w:r>
      <w:r>
        <w:rPr>
          <w:b/>
          <w:bCs/>
        </w:rPr>
        <w:t xml:space="preserve">168,000 hogares A/B</w:t>
      </w:r>
      <w:r>
        <w:t xml:space="preserve"> de toda Lima (S/62.8 millones al año). El núcleo son </w:t>
      </w:r>
      <w:r>
        <w:rPr>
          <w:b/>
          <w:bCs/>
        </w:rPr>
        <w:t xml:space="preserve">46,000 hogares A/B con niños de 4 a 11 años</w:t>
      </w:r>
      <w:r>
        <w:t xml:space="preserve"> en Lima Top y Lima Moderna (S/17.3 millones).</w:t>
      </w:r>
    </w:p>
    <w:p>
      <w:pPr>
        <w:pStyle w:val="ListParagraph"/>
        <w:numPr>
          <w:ilvl w:val="0"/>
          <w:numId w:val="2"/>
        </w:numPr>
        <w:spacing w:after="60"/>
      </w:pPr>
      <w:r>
        <w:t xml:space="preserve">La meta del año 1 (S/244,728 con IGV) equivale al </w:t>
      </w:r>
      <w:r>
        <w:rPr>
          <w:b/>
          <w:bCs/>
        </w:rPr>
        <w:t xml:space="preserve">1.4 % del núcleo</w:t>
      </w:r>
      <w:r>
        <w:t xml:space="preserve">.</w:t>
      </w:r>
    </w:p>
    <w:p>
      <w:pPr>
        <w:pStyle w:val="ListParagraph"/>
        <w:numPr>
          <w:ilvl w:val="0"/>
          <w:numId w:val="2"/>
        </w:numPr>
        <w:spacing w:after="60"/>
      </w:pPr>
      <w:r>
        <w:rPr>
          <w:b/>
          <w:bCs/>
        </w:rPr>
        <w:t xml:space="preserve">83 %</w:t>
      </w:r>
      <w:r>
        <w:t xml:space="preserve"> de los consumidores cambia su compra por los octógonos (Ipsos 2025) y </w:t>
      </w:r>
      <w:r>
        <w:rPr>
          <w:b/>
          <w:bCs/>
        </w:rPr>
        <w:t xml:space="preserve">42 %</w:t>
      </w:r>
      <w:r>
        <w:t xml:space="preserve"> desconfía de que un alimento envasado sea saludable (Kantar 2025).</w:t>
      </w:r>
    </w:p>
    <w:p>
      <w:pPr>
        <w:pStyle w:val="ListParagraph"/>
        <w:numPr>
          <w:ilvl w:val="0"/>
          <w:numId w:val="2"/>
        </w:numPr>
        <w:spacing w:after="60"/>
      </w:pPr>
      <w:r>
        <w:t xml:space="preserve">La anemia en niños de 6 a 35 meses de Lima Metropolitana es </w:t>
      </w:r>
      <w:r>
        <w:rPr>
          <w:b/>
          <w:bCs/>
        </w:rPr>
        <w:t xml:space="preserve">24.0 %</w:t>
      </w:r>
      <w:r>
        <w:t xml:space="preserve"> (ENDES 2024, criterio OMS 2024). El dato de Lima para 2025 todavía no lo pudimos verificar [POR CONFIRMAR].</w:t>
      </w:r>
    </w:p>
    <w:p>
      <w:pPr>
        <w:pStyle w:val="Heading1"/>
      </w:pPr>
      <w:r>
        <w:t xml:space="preserve">2. El embudo del mercado: del total a la meta del año 1</w:t>
      </w:r>
    </w:p>
    <w:p>
      <w:pPr>
        <w:spacing w:after="120"/>
      </w:pPr>
      <w:r>
        <w:t xml:space="preserve">Un embudo es una forma de ir de lo grande a lo que realmente podemos vender. Los cuatro niveles son los del documento 04 y de HECHOS_v7.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5"/>
        <w:gridCol w:w="3530"/>
        <w:gridCol w:w="1016"/>
        <w:gridCol w:w="1016"/>
        <w:gridCol w:w="1016"/>
        <w:gridCol w:w="1017"/>
      </w:tblGrid>
      <w:tr>
        <w:trPr>
          <w:tblHeader/>
        </w:trPr>
        <w:tc>
          <w:tcPr>
            <w:tcW w:type="dxa" w:w="176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Nivel</w:t>
            </w:r>
          </w:p>
        </w:tc>
        <w:tc>
          <w:tcPr>
            <w:tcW w:type="dxa" w:w="353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Qué es</w:t>
            </w:r>
          </w:p>
        </w:tc>
        <w:tc>
          <w:tcPr>
            <w:tcW w:type="dxa" w:w="101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Hogares</w:t>
            </w:r>
          </w:p>
        </w:tc>
        <w:tc>
          <w:tcPr>
            <w:tcW w:type="dxa" w:w="101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Niños de 4 a 11</w:t>
            </w:r>
          </w:p>
        </w:tc>
        <w:tc>
          <w:tcPr>
            <w:tcW w:type="dxa" w:w="101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Ocasiones al año</w:t>
            </w:r>
          </w:p>
        </w:tc>
        <w:tc>
          <w:tcPr>
            <w:tcW w:type="dxa" w:w="101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Valor al año</w:t>
            </w:r>
          </w:p>
        </w:tc>
      </w:tr>
      <w:tr>
        <w:trPr>
          <w:tblHeader w:val="false"/>
        </w:trPr>
        <w:tc>
          <w:tcPr>
            <w:tcW w:type="dxa" w:w="176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Mercado total (en inglés, TAM)</w:t>
            </w:r>
          </w:p>
        </w:tc>
        <w:tc>
          <w:tcPr>
            <w:tcW w:type="dxa" w:w="353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Todas las loncheras con un horneado o snack envasado, Lima Metropolitana y Callao, a precio masivo (S/1.50 por unidad)</w:t>
            </w:r>
          </w:p>
        </w:tc>
        <w:tc>
          <w:tcPr>
            <w:tcW w:type="dxa" w:w="101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932,000</w:t>
            </w:r>
          </w:p>
        </w:tc>
        <w:tc>
          <w:tcPr>
            <w:tcW w:type="dxa" w:w="101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1,212,000</w:t>
            </w:r>
          </w:p>
        </w:tc>
        <w:tc>
          <w:tcPr>
            <w:tcW w:type="dxa" w:w="101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87.3 millones</w:t>
            </w:r>
          </w:p>
        </w:tc>
        <w:tc>
          <w:tcPr>
            <w:tcW w:type="dxa" w:w="101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S/130.9 millones</w:t>
            </w:r>
          </w:p>
        </w:tc>
      </w:tr>
      <w:tr>
        <w:trPr>
          <w:tblHeader w:val="false"/>
        </w:trPr>
        <w:tc>
          <w:tcPr>
            <w:tcW w:type="dxa" w:w="176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Mercado al que apuntamos (SAM)</w:t>
            </w:r>
          </w:p>
        </w:tc>
        <w:tc>
          <w:tcPr>
            <w:tcW w:type="dxa" w:w="353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Niños de 4 a 11 de NSE A/B de toda Lima, a precio premium (S/4.00 por unidad)</w:t>
            </w:r>
          </w:p>
        </w:tc>
        <w:tc>
          <w:tcPr>
            <w:tcW w:type="dxa" w:w="101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168,000</w:t>
            </w:r>
          </w:p>
        </w:tc>
        <w:tc>
          <w:tcPr>
            <w:tcW w:type="dxa" w:w="101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218,000</w:t>
            </w:r>
          </w:p>
        </w:tc>
        <w:tc>
          <w:tcPr>
            <w:tcW w:type="dxa" w:w="101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15.7 millones</w:t>
            </w:r>
          </w:p>
        </w:tc>
        <w:tc>
          <w:tcPr>
            <w:tcW w:type="dxa" w:w="101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S/62.8 millones</w:t>
            </w:r>
          </w:p>
        </w:tc>
      </w:tr>
      <w:tr>
        <w:trPr>
          <w:tblHeader w:val="false"/>
        </w:trPr>
        <w:tc>
          <w:tcPr>
            <w:tcW w:type="dxa" w:w="176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Núcleo</w:t>
            </w:r>
          </w:p>
        </w:tc>
        <w:tc>
          <w:tcPr>
            <w:tcW w:type="dxa" w:w="353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NSE A/B con niños de 4 a 11 en Lima Top (zona 7) y Lima Moderna (zona 6)</w:t>
            </w:r>
          </w:p>
        </w:tc>
        <w:tc>
          <w:tcPr>
            <w:tcW w:type="dxa" w:w="101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46,000</w:t>
            </w:r>
          </w:p>
        </w:tc>
        <w:tc>
          <w:tcPr>
            <w:tcW w:type="dxa" w:w="101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60,000</w:t>
            </w:r>
          </w:p>
        </w:tc>
        <w:tc>
          <w:tcPr>
            <w:tcW w:type="dxa" w:w="101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4.3 millones</w:t>
            </w:r>
          </w:p>
        </w:tc>
        <w:tc>
          <w:tcPr>
            <w:tcW w:type="dxa" w:w="101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S/17.3 millones</w:t>
            </w:r>
          </w:p>
        </w:tc>
      </w:tr>
      <w:tr>
        <w:trPr>
          <w:tblHeader w:val="false"/>
        </w:trPr>
        <w:tc>
          <w:tcPr>
            <w:tcW w:type="dxa" w:w="176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Meta del año 1 (2027)</w:t>
            </w:r>
          </w:p>
        </w:tc>
        <w:tc>
          <w:tcPr>
            <w:tcW w:type="dxa" w:w="353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Excel v7: 52,331 brownies</w:t>
            </w:r>
          </w:p>
        </w:tc>
        <w:tc>
          <w:tcPr>
            <w:tcW w:type="dxa" w:w="101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no aplica</w:t>
            </w:r>
          </w:p>
        </w:tc>
        <w:tc>
          <w:tcPr>
            <w:tcW w:type="dxa" w:w="101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no aplica</w:t>
            </w:r>
          </w:p>
        </w:tc>
        <w:tc>
          <w:tcPr>
            <w:tcW w:type="dxa" w:w="101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52,331 brownies</w:t>
            </w:r>
          </w:p>
        </w:tc>
        <w:tc>
          <w:tcPr>
            <w:tcW w:type="dxa" w:w="101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S/244,728 con IGV</w:t>
            </w:r>
          </w:p>
        </w:tc>
      </w:tr>
    </w:tbl>
    <w:p>
      <w:pPr>
        <w:spacing w:after="80"/>
      </w:pPr>
    </w:p>
    <w:p>
      <w:pPr>
        <w:spacing w:after="120"/>
      </w:pPr>
      <w:r>
        <w:rPr>
          <w:b/>
          <w:bCs/>
        </w:rPr>
        <w:t xml:space="preserve">Cómo se calculó cada nivel</w:t>
      </w:r>
      <w:r>
        <w:t xml:space="preserve"> (documento 04, sección 1.11, todos con [HIPÓTESIS]):</w:t>
      </w:r>
    </w:p>
    <w:p>
      <w:pPr>
        <w:pStyle w:val="ListParagraph"/>
        <w:numPr>
          <w:ilvl w:val="0"/>
          <w:numId w:val="3"/>
        </w:numPr>
        <w:spacing w:after="60"/>
      </w:pPr>
      <w:r>
        <w:t xml:space="preserve">Ocasiones al año = niños × 180 días de clases × 40 % de loncheras que llevan un horneado o una barrita envasada.</w:t>
      </w:r>
    </w:p>
    <w:p>
      <w:pPr>
        <w:pStyle w:val="ListParagraph"/>
        <w:numPr>
          <w:ilvl w:val="0"/>
          <w:numId w:val="3"/>
        </w:numPr>
        <w:spacing w:after="60"/>
      </w:pPr>
      <w:r>
        <w:t xml:space="preserve">Valor al año = ocasiones × precio por unidad.</w:t>
      </w:r>
    </w:p>
    <w:p>
      <w:pPr>
        <w:pStyle w:val="ListParagraph"/>
        <w:numPr>
          <w:ilvl w:val="0"/>
          <w:numId w:val="3"/>
        </w:numPr>
        <w:spacing w:after="60"/>
      </w:pPr>
      <w:r>
        <w:t xml:space="preserve">Mercado total: 1,212,000 × 180 × 0.40 = 87.3 millones de ocasiones; × S/1.50 = S/130.9 millones.</w:t>
      </w:r>
    </w:p>
    <w:p>
      <w:pPr>
        <w:pStyle w:val="ListParagraph"/>
        <w:numPr>
          <w:ilvl w:val="0"/>
          <w:numId w:val="3"/>
        </w:numPr>
        <w:spacing w:after="60"/>
      </w:pPr>
      <w:r>
        <w:t xml:space="preserve">Mercado al que apuntamos: 218,000 × 180 × 0.40 = 15.7 millones; × S/4.00 = S/62.8 millones.</w:t>
      </w:r>
    </w:p>
    <w:p>
      <w:pPr>
        <w:pStyle w:val="ListParagraph"/>
        <w:numPr>
          <w:ilvl w:val="0"/>
          <w:numId w:val="3"/>
        </w:numPr>
        <w:spacing w:after="60"/>
      </w:pPr>
      <w:r>
        <w:t xml:space="preserve">Núcleo: 60,000 × 180 × 0.40 = 4.3 millones; × S/4.00 = S/17.3 millones.</w:t>
      </w:r>
    </w:p>
    <w:p>
      <w:pPr>
        <w:pStyle w:val="ListParagraph"/>
        <w:numPr>
          <w:ilvl w:val="0"/>
          <w:numId w:val="3"/>
        </w:numPr>
        <w:spacing w:after="60"/>
      </w:pPr>
      <w:r>
        <w:t xml:space="preserve">El 40 % sale de Kantar (22 % de loncheras con barra de cereal y 20 % con galletas), suponiendo poca superposición.</w:t>
      </w:r>
    </w:p>
    <w:p>
      <w:pPr>
        <w:spacing w:after="120"/>
      </w:pPr>
      <w:r>
        <w:rPr>
          <w:b/>
          <w:bCs/>
        </w:rPr>
        <w:t xml:space="preserve">Cómo llegamos a la meta del año 1:</w:t>
      </w:r>
    </w:p>
    <w:p>
      <w:pPr>
        <w:pStyle w:val="ListParagraph"/>
        <w:numPr>
          <w:ilvl w:val="0"/>
          <w:numId w:val="3"/>
        </w:numPr>
        <w:spacing w:after="60"/>
      </w:pPr>
      <w:r>
        <w:t xml:space="preserve">Valor: S/244,728 ÷ S/17.3 millones = </w:t>
      </w:r>
      <w:r>
        <w:rPr>
          <w:b/>
          <w:bCs/>
        </w:rPr>
        <w:t xml:space="preserve">1.4 % del núcleo</w:t>
      </w:r>
      <w:r>
        <w:t xml:space="preserve">. Es el control de arriba hacia abajo del tema #06.</w:t>
      </w:r>
    </w:p>
    <w:p>
      <w:pPr>
        <w:pStyle w:val="ListParagraph"/>
        <w:numPr>
          <w:ilvl w:val="0"/>
          <w:numId w:val="3"/>
        </w:numPr>
        <w:spacing w:after="60"/>
      </w:pPr>
      <w:r>
        <w:t xml:space="preserve">También equivale al 0.39 % del mercado al que apuntamos (S/244,728 ÷ S/62.8 millones) y al 0.19 % del mercado total (S/244,728 ÷ S/130.9 millones).</w:t>
      </w:r>
    </w:p>
    <w:p>
      <w:pPr>
        <w:pStyle w:val="ListParagraph"/>
        <w:numPr>
          <w:ilvl w:val="0"/>
          <w:numId w:val="3"/>
        </w:numPr>
        <w:spacing w:after="60"/>
      </w:pPr>
      <w:r>
        <w:t xml:space="preserve">Unidades: 52,331 ÷ 4.3 millones de ocasiones del núcleo = 1.2 %.</w:t>
      </w:r>
    </w:p>
    <w:p>
      <w:pPr>
        <w:pStyle w:val="ListParagraph"/>
        <w:numPr>
          <w:ilvl w:val="0"/>
          <w:numId w:val="3"/>
        </w:numPr>
        <w:spacing w:after="60"/>
      </w:pPr>
      <w:r>
        <w:t xml:space="preserve">Nota: no todas las ventas salen del núcleo (hay colegios, naturistas y WhatsApp). Por eso el 1.4 % es una prueba de que la meta es posible, no una promesa de que todo venga de esos 46,000 hogares.</w:t>
      </w:r>
    </w:p>
    <w:p>
      <w:pPr>
        <w:spacing w:after="120"/>
      </w:pPr>
      <w:r>
        <w:rPr>
          <w:b/>
          <w:bCs/>
        </w:rPr>
        <w:t xml:space="preserve">Dos advertencias:</w:t>
      </w:r>
    </w:p>
    <w:p>
      <w:pPr>
        <w:pStyle w:val="ListParagraph"/>
        <w:numPr>
          <w:ilvl w:val="0"/>
          <w:numId w:val="3"/>
        </w:numPr>
        <w:spacing w:after="60"/>
      </w:pPr>
      <w:r>
        <w:t xml:space="preserve">El mercado se valora a S/4.00 por unidad. El precio real de AndiBite es S/4.16 a S/4.65 por brownie en packs (HECHOS_v7), así que el valor del mercado está calculado de forma prudente.</w:t>
      </w:r>
    </w:p>
    <w:p>
      <w:pPr>
        <w:pStyle w:val="ListParagraph"/>
        <w:numPr>
          <w:ilvl w:val="0"/>
          <w:numId w:val="3"/>
        </w:numPr>
        <w:spacing w:after="60"/>
      </w:pPr>
      <w:r>
        <w:t xml:space="preserve">El Censo 2025 contó menos gente en Lima que las proyecciones (9.6 millones frente a 10.2 millones). El documento 04 aplica un ajuste de −5 % [HIPÓTESIS]. Con ese ajuste el núcleo baja a unos S/16.4 millones y la meta equivale al </w:t>
      </w:r>
      <w:r>
        <w:rPr>
          <w:b/>
          <w:bCs/>
        </w:rPr>
        <w:t xml:space="preserve">1.5 %</w:t>
      </w:r>
      <w:r>
        <w:t xml:space="preserve"> (cálculo: S/17.3 millones × 0.95 = S/16.4 millones; S/244,728 ÷ S/16.4 millones). Sigue siendo una meta baja.</w:t>
      </w:r>
    </w:p>
    <w:p>
      <w:pPr>
        <w:spacing w:after="120"/>
      </w:pPr>
      <w:r>
        <w:t xml:space="preserve">El documento 04 y la presentación T1 usan un nombre anterior de la marca y precios de S/4.00 por unidad. Manda HECHOS_v7: el nombre es AndiBite y los precios son los de HECHOS_v7.</w:t>
      </w:r>
    </w:p>
    <w:p>
      <w:pPr>
        <w:pStyle w:val="Heading1"/>
      </w:pPr>
      <w:r>
        <w:t xml:space="preserve">3. Hogares e ingreso por NSE (APEIM 2025)</w:t>
      </w:r>
    </w:p>
    <w:p>
      <w:pPr>
        <w:spacing w:after="120"/>
      </w:pPr>
      <w:r>
        <w:t xml:space="preserve">Fuente: APEIM, *Niveles Socioeconómicos 2025* (setiembre de 2025, con datos de la ENAHO 2024). Total de hogares de Lima Metropolitana y Callao: 3,362,157.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93"/>
        <w:gridCol w:w="994"/>
        <w:gridCol w:w="993"/>
        <w:gridCol w:w="1989"/>
        <w:gridCol w:w="994"/>
        <w:gridCol w:w="1409"/>
        <w:gridCol w:w="993"/>
        <w:gridCol w:w="995"/>
      </w:tblGrid>
      <w:tr>
        <w:trPr>
          <w:tblHeader/>
        </w:trPr>
        <w:tc>
          <w:tcPr>
            <w:tcW w:type="dxa" w:w="99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NSE</w:t>
            </w:r>
          </w:p>
        </w:tc>
        <w:tc>
          <w:tcPr>
            <w:tcW w:type="dxa" w:w="99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 de hogares</w:t>
            </w:r>
          </w:p>
        </w:tc>
        <w:tc>
          <w:tcPr>
            <w:tcW w:type="dxa" w:w="99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Hogares</w:t>
            </w:r>
          </w:p>
        </w:tc>
        <w:tc>
          <w:tcPr>
            <w:tcW w:type="dxa" w:w="1989"/>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Ingreso del hogar al mes</w:t>
            </w:r>
          </w:p>
        </w:tc>
        <w:tc>
          <w:tcPr>
            <w:tcW w:type="dxa" w:w="99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Gasto al mes</w:t>
            </w:r>
          </w:p>
        </w:tc>
        <w:tc>
          <w:tcPr>
            <w:tcW w:type="dxa" w:w="1409"/>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Alimentos en casa</w:t>
            </w:r>
          </w:p>
        </w:tc>
        <w:tc>
          <w:tcPr>
            <w:tcW w:type="dxa" w:w="99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Educación</w:t>
            </w:r>
          </w:p>
        </w:tc>
        <w:tc>
          <w:tcPr>
            <w:tcW w:type="dxa" w:w="99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Salud</w:t>
            </w:r>
          </w:p>
        </w:tc>
      </w:tr>
      <w:tr>
        <w:trPr>
          <w:tblHeader w:val="false"/>
        </w:trPr>
        <w:tc>
          <w:tcPr>
            <w:tcW w:type="dxa" w:w="99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w:t>
            </w:r>
          </w:p>
        </w:tc>
        <w:tc>
          <w:tcPr>
            <w:tcW w:type="dxa" w:w="99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2.6 %</w:t>
            </w:r>
          </w:p>
        </w:tc>
        <w:tc>
          <w:tcPr>
            <w:tcW w:type="dxa" w:w="99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87,416</w:t>
            </w:r>
          </w:p>
        </w:tc>
        <w:tc>
          <w:tcPr>
            <w:tcW w:type="dxa" w:w="198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S/14,584</w:t>
            </w:r>
          </w:p>
        </w:tc>
        <w:tc>
          <w:tcPr>
            <w:tcW w:type="dxa" w:w="99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S/7,786</w:t>
            </w:r>
          </w:p>
        </w:tc>
        <w:tc>
          <w:tcPr>
            <w:tcW w:type="dxa" w:w="140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S/2,214</w:t>
            </w:r>
          </w:p>
        </w:tc>
        <w:tc>
          <w:tcPr>
            <w:tcW w:type="dxa" w:w="99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S/1,078</w:t>
            </w:r>
          </w:p>
        </w:tc>
        <w:tc>
          <w:tcPr>
            <w:tcW w:type="dxa" w:w="99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S/631</w:t>
            </w:r>
          </w:p>
        </w:tc>
      </w:tr>
      <w:tr>
        <w:trPr>
          <w:tblHeader w:val="false"/>
        </w:trPr>
        <w:tc>
          <w:tcPr>
            <w:tcW w:type="dxa" w:w="99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B</w:t>
            </w:r>
          </w:p>
        </w:tc>
        <w:tc>
          <w:tcPr>
            <w:tcW w:type="dxa" w:w="99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18.4 %</w:t>
            </w:r>
          </w:p>
        </w:tc>
        <w:tc>
          <w:tcPr>
            <w:tcW w:type="dxa" w:w="99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618,637</w:t>
            </w:r>
          </w:p>
        </w:tc>
        <w:tc>
          <w:tcPr>
            <w:tcW w:type="dxa" w:w="198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S/7,787</w:t>
            </w:r>
          </w:p>
        </w:tc>
        <w:tc>
          <w:tcPr>
            <w:tcW w:type="dxa" w:w="99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S/5,027</w:t>
            </w:r>
          </w:p>
        </w:tc>
        <w:tc>
          <w:tcPr>
            <w:tcW w:type="dxa" w:w="140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S/1,795</w:t>
            </w:r>
          </w:p>
        </w:tc>
        <w:tc>
          <w:tcPr>
            <w:tcW w:type="dxa" w:w="99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S/566</w:t>
            </w:r>
          </w:p>
        </w:tc>
        <w:tc>
          <w:tcPr>
            <w:tcW w:type="dxa" w:w="99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S/432</w:t>
            </w:r>
          </w:p>
        </w:tc>
      </w:tr>
      <w:tr>
        <w:trPr>
          <w:tblHeader w:val="false"/>
        </w:trPr>
        <w:tc>
          <w:tcPr>
            <w:tcW w:type="dxa" w:w="99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 + B</w:t>
            </w:r>
          </w:p>
        </w:tc>
        <w:tc>
          <w:tcPr>
            <w:tcW w:type="dxa" w:w="99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21.0 %</w:t>
            </w:r>
          </w:p>
        </w:tc>
        <w:tc>
          <w:tcPr>
            <w:tcW w:type="dxa" w:w="99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706,053</w:t>
            </w:r>
          </w:p>
        </w:tc>
        <w:tc>
          <w:tcPr>
            <w:tcW w:type="dxa" w:w="198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 aplica</w:t>
            </w:r>
          </w:p>
        </w:tc>
        <w:tc>
          <w:tcPr>
            <w:tcW w:type="dxa" w:w="99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 aplica</w:t>
            </w:r>
          </w:p>
        </w:tc>
        <w:tc>
          <w:tcPr>
            <w:tcW w:type="dxa" w:w="140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 aplica</w:t>
            </w:r>
          </w:p>
        </w:tc>
        <w:tc>
          <w:tcPr>
            <w:tcW w:type="dxa" w:w="99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 aplica</w:t>
            </w:r>
          </w:p>
        </w:tc>
        <w:tc>
          <w:tcPr>
            <w:tcW w:type="dxa" w:w="99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 aplica</w:t>
            </w:r>
          </w:p>
        </w:tc>
      </w:tr>
      <w:tr>
        <w:trPr>
          <w:tblHeader w:val="false"/>
        </w:trPr>
        <w:tc>
          <w:tcPr>
            <w:tcW w:type="dxa" w:w="99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w:t>
            </w:r>
          </w:p>
        </w:tc>
        <w:tc>
          <w:tcPr>
            <w:tcW w:type="dxa" w:w="99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45.5 %</w:t>
            </w:r>
          </w:p>
        </w:tc>
        <w:tc>
          <w:tcPr>
            <w:tcW w:type="dxa" w:w="99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1,529,781</w:t>
            </w:r>
          </w:p>
        </w:tc>
        <w:tc>
          <w:tcPr>
            <w:tcW w:type="dxa" w:w="198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S/4,180</w:t>
            </w:r>
          </w:p>
        </w:tc>
        <w:tc>
          <w:tcPr>
            <w:tcW w:type="dxa" w:w="99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S/3,172</w:t>
            </w:r>
          </w:p>
        </w:tc>
        <w:tc>
          <w:tcPr>
            <w:tcW w:type="dxa" w:w="140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S/1,435</w:t>
            </w:r>
          </w:p>
        </w:tc>
        <w:tc>
          <w:tcPr>
            <w:tcW w:type="dxa" w:w="99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S/210</w:t>
            </w:r>
          </w:p>
        </w:tc>
        <w:tc>
          <w:tcPr>
            <w:tcW w:type="dxa" w:w="99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S/254</w:t>
            </w:r>
          </w:p>
        </w:tc>
      </w:tr>
      <w:tr>
        <w:trPr>
          <w:tblHeader w:val="false"/>
        </w:trPr>
        <w:tc>
          <w:tcPr>
            <w:tcW w:type="dxa" w:w="99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w:t>
            </w:r>
          </w:p>
        </w:tc>
        <w:tc>
          <w:tcPr>
            <w:tcW w:type="dxa" w:w="99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26.9 %</w:t>
            </w:r>
          </w:p>
        </w:tc>
        <w:tc>
          <w:tcPr>
            <w:tcW w:type="dxa" w:w="99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904,420</w:t>
            </w:r>
          </w:p>
        </w:tc>
        <w:tc>
          <w:tcPr>
            <w:tcW w:type="dxa" w:w="198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 se usa</w:t>
            </w:r>
          </w:p>
        </w:tc>
        <w:tc>
          <w:tcPr>
            <w:tcW w:type="dxa" w:w="99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 se usa</w:t>
            </w:r>
          </w:p>
        </w:tc>
        <w:tc>
          <w:tcPr>
            <w:tcW w:type="dxa" w:w="140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 se usa</w:t>
            </w:r>
          </w:p>
        </w:tc>
        <w:tc>
          <w:tcPr>
            <w:tcW w:type="dxa" w:w="99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 se usa</w:t>
            </w:r>
          </w:p>
        </w:tc>
        <w:tc>
          <w:tcPr>
            <w:tcW w:type="dxa" w:w="99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 se usa</w:t>
            </w:r>
          </w:p>
        </w:tc>
      </w:tr>
      <w:tr>
        <w:trPr>
          <w:tblHeader w:val="false"/>
        </w:trPr>
        <w:tc>
          <w:tcPr>
            <w:tcW w:type="dxa" w:w="99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w:t>
            </w:r>
          </w:p>
        </w:tc>
        <w:tc>
          <w:tcPr>
            <w:tcW w:type="dxa" w:w="99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6.6 %</w:t>
            </w:r>
          </w:p>
        </w:tc>
        <w:tc>
          <w:tcPr>
            <w:tcW w:type="dxa" w:w="99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221,902</w:t>
            </w:r>
          </w:p>
        </w:tc>
        <w:tc>
          <w:tcPr>
            <w:tcW w:type="dxa" w:w="198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no se usa</w:t>
            </w:r>
          </w:p>
        </w:tc>
        <w:tc>
          <w:tcPr>
            <w:tcW w:type="dxa" w:w="99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no se usa</w:t>
            </w:r>
          </w:p>
        </w:tc>
        <w:tc>
          <w:tcPr>
            <w:tcW w:type="dxa" w:w="140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no se usa</w:t>
            </w:r>
          </w:p>
        </w:tc>
        <w:tc>
          <w:tcPr>
            <w:tcW w:type="dxa" w:w="99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no se usa</w:t>
            </w:r>
          </w:p>
        </w:tc>
        <w:tc>
          <w:tcPr>
            <w:tcW w:type="dxa" w:w="99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no se usa</w:t>
            </w:r>
          </w:p>
        </w:tc>
      </w:tr>
      <w:tr>
        <w:trPr>
          <w:tblHeader w:val="false"/>
        </w:trPr>
        <w:tc>
          <w:tcPr>
            <w:tcW w:type="dxa" w:w="99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Total Lima</w:t>
            </w:r>
          </w:p>
        </w:tc>
        <w:tc>
          <w:tcPr>
            <w:tcW w:type="dxa" w:w="99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100 %</w:t>
            </w:r>
          </w:p>
        </w:tc>
        <w:tc>
          <w:tcPr>
            <w:tcW w:type="dxa" w:w="99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3,362,157</w:t>
            </w:r>
          </w:p>
        </w:tc>
        <w:tc>
          <w:tcPr>
            <w:tcW w:type="dxa" w:w="198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S/4,619</w:t>
            </w:r>
          </w:p>
        </w:tc>
        <w:tc>
          <w:tcPr>
            <w:tcW w:type="dxa" w:w="99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S/3,294</w:t>
            </w:r>
          </w:p>
        </w:tc>
        <w:tc>
          <w:tcPr>
            <w:tcW w:type="dxa" w:w="140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S/1,412</w:t>
            </w:r>
          </w:p>
        </w:tc>
        <w:tc>
          <w:tcPr>
            <w:tcW w:type="dxa" w:w="99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S/260</w:t>
            </w:r>
          </w:p>
        </w:tc>
        <w:tc>
          <w:tcPr>
            <w:tcW w:type="dxa" w:w="99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S/258</w:t>
            </w:r>
          </w:p>
        </w:tc>
      </w:tr>
    </w:tbl>
    <w:p>
      <w:pPr>
        <w:spacing w:after="80"/>
      </w:pPr>
    </w:p>
    <w:p>
      <w:pPr>
        <w:spacing w:after="120"/>
      </w:pPr>
      <w:r>
        <w:rPr>
          <w:b/>
          <w:bCs/>
        </w:rPr>
        <w:t xml:space="preserve">Cómo leerlo:</w:t>
      </w:r>
    </w:p>
    <w:p>
      <w:pPr>
        <w:pStyle w:val="ListParagraph"/>
        <w:numPr>
          <w:ilvl w:val="0"/>
          <w:numId w:val="3"/>
        </w:numPr>
        <w:spacing w:after="60"/>
      </w:pPr>
      <w:r>
        <w:t xml:space="preserve">El hogar A gasta en educación 5 veces lo que gasta el C (S/1,078 ÷ S/210 = 5.1). El B gasta 2.7 veces (S/566 ÷ S/210). En alimentos, el A gasta solo 1.5 veces lo del C (S/2,214 ÷ S/1,435). Por eso decimos que AndiBite se vende desde la billetera de educación y salud, no desde la de golosinas.</w:t>
      </w:r>
    </w:p>
    <w:p>
      <w:pPr>
        <w:pStyle w:val="ListParagraph"/>
        <w:numPr>
          <w:ilvl w:val="0"/>
          <w:numId w:val="3"/>
        </w:numPr>
        <w:spacing w:after="60"/>
      </w:pPr>
      <w:r>
        <w:t xml:space="preserve">Un pack de 6 cada 2 semanas (unos S/52 al mes) es el 2.3 % del gasto en alimentos de un hogar A y el 2.9 % de uno B (cálculo: S/52 ÷ S/2,214 y S/52 ÷ S/1,795). Es un gasto que cabe en esas billeteras.</w:t>
      </w:r>
    </w:p>
    <w:p>
      <w:pPr>
        <w:pStyle w:val="ListParagraph"/>
        <w:numPr>
          <w:ilvl w:val="0"/>
          <w:numId w:val="3"/>
        </w:numPr>
        <w:spacing w:after="60"/>
      </w:pPr>
      <w:r>
        <w:t xml:space="preserve">Dónde viven (zonas APEIM): en Lima Top (zona 7) el 51.4 % de los hogares es B y el 20.2 % es A. En Lima Moderna (zona 6) es 51.7 % B y 11.8 % A. Lima Top es 71.6 % A/B y Lima Moderna 63.5 %. Las dos zonas reúnen el 58.9 % de los hogares A de Lima.</w:t>
      </w:r>
    </w:p>
    <w:p>
      <w:pPr>
        <w:pStyle w:val="ListParagraph"/>
        <w:numPr>
          <w:ilvl w:val="0"/>
          <w:numId w:val="3"/>
        </w:numPr>
        <w:spacing w:after="60"/>
      </w:pPr>
      <w:r>
        <w:t xml:space="preserve">Los hogares B pesan más que los A: en Lima Top, 7 de cada 10 hogares A/B son B (51.4 ÷ 71.6) y en Lima Moderna, 8 de cada 10 (51.7 ÷ 63.5). Por eso el esfuerzo es parejo para A (Claudia) y B (Rodrigo).</w:t>
      </w:r>
    </w:p>
    <w:p>
      <w:pPr>
        <w:pStyle w:val="ListParagraph"/>
        <w:numPr>
          <w:ilvl w:val="0"/>
          <w:numId w:val="3"/>
        </w:numPr>
        <w:spacing w:after="60"/>
      </w:pPr>
      <w:r>
        <w:t xml:space="preserve">Compran por internet el 53.6 % de las personas de 18 años o más del NSE A y el 39.1 % del B (total Lima: 23.3 %). Tienen auto el 90.6 % de los hogares A y el 63.8 % de los B.</w:t>
      </w:r>
    </w:p>
    <w:p>
      <w:pPr>
        <w:pStyle w:val="ListParagraph"/>
        <w:numPr>
          <w:ilvl w:val="0"/>
          <w:numId w:val="3"/>
        </w:numPr>
        <w:spacing w:after="60"/>
      </w:pPr>
      <w:r>
        <w:t xml:space="preserve">Tendencia: los hogares A/B eran 23.8 % en 2023, 20.1 % en 2024 y 21.0 % en 2025.</w:t>
      </w:r>
    </w:p>
    <w:p>
      <w:pPr>
        <w:pStyle w:val="Heading1"/>
      </w:pPr>
      <w:r>
        <w:t xml:space="preserve">4. Anemia: datos de ENDES y MINSA</w:t>
      </w:r>
    </w:p>
    <w:p>
      <w:pPr>
        <w:spacing w:after="120"/>
      </w:pPr>
      <w:r>
        <w:t xml:space="preserve">Estos datos explican por qué importa el hierro. AndiBite </w:t>
      </w:r>
      <w:r>
        <w:rPr>
          <w:b/>
          <w:bCs/>
        </w:rPr>
        <w:t xml:space="preserve">contribuye</w:t>
      </w:r>
      <w:r>
        <w:t xml:space="preserve"> a que el niño reciba hierro; </w:t>
      </w:r>
      <w:r>
        <w:rPr>
          <w:b/>
          <w:bCs/>
        </w:rPr>
        <w:t xml:space="preserve">no dice</w:t>
      </w:r>
      <w:r>
        <w:t xml:space="preserve"> que previene ni cura la anemia (riesgo de publicidad engañosa, HECHOS_v7).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9"/>
        <w:gridCol w:w="3209"/>
        <w:gridCol w:w="2942"/>
      </w:tblGrid>
      <w:tr>
        <w:trPr>
          <w:tblHeader/>
        </w:trPr>
        <w:tc>
          <w:tcPr>
            <w:tcW w:type="dxa" w:w="3209"/>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Indicador</w:t>
            </w:r>
          </w:p>
        </w:tc>
        <w:tc>
          <w:tcPr>
            <w:tcW w:type="dxa" w:w="3209"/>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Cifra</w:t>
            </w:r>
          </w:p>
        </w:tc>
        <w:tc>
          <w:tcPr>
            <w:tcW w:type="dxa" w:w="2942"/>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Fuente</w:t>
            </w:r>
          </w:p>
        </w:tc>
      </w:tr>
      <w:tr>
        <w:trPr>
          <w:tblHeader w:val="false"/>
        </w:trPr>
        <w:tc>
          <w:tcPr>
            <w:tcW w:type="dxa" w:w="320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Niños de 6 a 35 meses con anemia, Perú 2025, criterio OMS 2024 (RM 251-2024)</w:t>
            </w:r>
          </w:p>
        </w:tc>
        <w:tc>
          <w:tcPr>
            <w:tcW w:type="dxa" w:w="320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34.9 % (urbano 31.5 %, rural 43.2 %)</w:t>
            </w:r>
          </w:p>
        </w:tc>
        <w:tc>
          <w:tcPr>
            <w:tcW w:type="dxa" w:w="294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INEI, ENDES 2025 (junio de 2026)</w:t>
            </w:r>
          </w:p>
        </w:tc>
      </w:tr>
      <w:tr>
        <w:trPr>
          <w:tblHeader w:val="false"/>
        </w:trPr>
        <w:tc>
          <w:tcPr>
            <w:tcW w:type="dxa" w:w="320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Lo mismo con el criterio anterior (RM 363-2022)</w:t>
            </w:r>
          </w:p>
        </w:tc>
        <w:tc>
          <w:tcPr>
            <w:tcW w:type="dxa" w:w="320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43.4 % (urbano 40.5 %)</w:t>
            </w:r>
          </w:p>
        </w:tc>
        <w:tc>
          <w:tcPr>
            <w:tcW w:type="dxa" w:w="294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INEI, ENDES 2025</w:t>
            </w:r>
          </w:p>
        </w:tc>
      </w:tr>
      <w:tr>
        <w:trPr>
          <w:tblHeader w:val="false"/>
        </w:trPr>
        <w:tc>
          <w:tcPr>
            <w:tcW w:type="dxa" w:w="320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Niños de 6 a 35 meses, Lima Metropolitana 2024, criterio OMS 2024</w:t>
            </w:r>
          </w:p>
        </w:tc>
        <w:tc>
          <w:tcPr>
            <w:tcW w:type="dxa" w:w="320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24.0 %</w:t>
            </w:r>
            <w:r>
              <w:rPr>
                <w:sz w:val="19"/>
                <w:szCs w:val="19"/>
              </w:rPr>
              <w:t xml:space="preserve">, la más baja del país (27.0 % en 2023)</w:t>
            </w:r>
          </w:p>
        </w:tc>
        <w:tc>
          <w:tcPr>
            <w:tcW w:type="dxa" w:w="294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ENDES 2024, presentación del INEI ante la MCLCP</w:t>
            </w:r>
          </w:p>
        </w:tc>
      </w:tr>
      <w:tr>
        <w:trPr>
          <w:tblHeader w:val="false"/>
        </w:trPr>
        <w:tc>
          <w:tcPr>
            <w:tcW w:type="dxa" w:w="320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Lo mismo con el criterio anterior</w:t>
            </w:r>
          </w:p>
        </w:tc>
        <w:tc>
          <w:tcPr>
            <w:tcW w:type="dxa" w:w="320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32.9 % (22.4 % leve + 10.5 % moderada)</w:t>
            </w:r>
          </w:p>
        </w:tc>
        <w:tc>
          <w:tcPr>
            <w:tcW w:type="dxa" w:w="294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INEI, ENDES 2024, capítulo de Lima Metropolitana</w:t>
            </w:r>
          </w:p>
        </w:tc>
      </w:tr>
      <w:tr>
        <w:trPr>
          <w:tblHeader w:val="false"/>
        </w:trPr>
        <w:tc>
          <w:tcPr>
            <w:tcW w:type="dxa" w:w="320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Niños de 6 a 35 meses, Lima Metropolitana 2025</w:t>
            </w:r>
          </w:p>
        </w:tc>
        <w:tc>
          <w:tcPr>
            <w:tcW w:type="dxa" w:w="320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[POR CONFIRMAR] (el mapa de ENDES 2025 la ubica en el rango más bajo, 17.6 % a 29.0 %)</w:t>
            </w:r>
          </w:p>
        </w:tc>
        <w:tc>
          <w:tcPr>
            <w:tcW w:type="dxa" w:w="294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ENDES 2025</w:t>
            </w:r>
          </w:p>
        </w:tc>
      </w:tr>
      <w:tr>
        <w:trPr>
          <w:tblHeader w:val="false"/>
        </w:trPr>
        <w:tc>
          <w:tcPr>
            <w:tcW w:type="dxa" w:w="320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Niños de 6 a 35 meses de Lima Metropolitana que tomaron suplemento de hierro</w:t>
            </w:r>
          </w:p>
        </w:tc>
        <w:tc>
          <w:tcPr>
            <w:tcW w:type="dxa" w:w="320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32.9 % (2024)</w:t>
            </w:r>
          </w:p>
        </w:tc>
        <w:tc>
          <w:tcPr>
            <w:tcW w:type="dxa" w:w="294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ENDES 2024</w:t>
            </w:r>
          </w:p>
        </w:tc>
      </w:tr>
      <w:tr>
        <w:trPr>
          <w:tblHeader w:val="false"/>
        </w:trPr>
        <w:tc>
          <w:tcPr>
            <w:tcW w:type="dxa" w:w="320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Mujeres de 15 a 49 años, Lima Metropolitana</w:t>
            </w:r>
          </w:p>
        </w:tc>
        <w:tc>
          <w:tcPr>
            <w:tcW w:type="dxa" w:w="320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25.9 % (2024)</w:t>
            </w:r>
          </w:p>
        </w:tc>
        <w:tc>
          <w:tcPr>
            <w:tcW w:type="dxa" w:w="294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ENDES 2024</w:t>
            </w:r>
          </w:p>
        </w:tc>
      </w:tr>
      <w:tr>
        <w:trPr>
          <w:tblHeader w:val="false"/>
        </w:trPr>
        <w:tc>
          <w:tcPr>
            <w:tcW w:type="dxa" w:w="320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Niños de 5 a 11 años atendidos por el MINSA con anemia, Perú / departamento de Lima</w:t>
            </w:r>
          </w:p>
        </w:tc>
        <w:tc>
          <w:tcPr>
            <w:tcW w:type="dxa" w:w="320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26.9 % / 22.5 % (2024)</w:t>
            </w:r>
          </w:p>
        </w:tc>
        <w:tc>
          <w:tcPr>
            <w:tcW w:type="dxa" w:w="294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INS-CENAN, SIEN-HIS 2024 (niños atendidos por el MINSA)</w:t>
            </w:r>
          </w:p>
        </w:tc>
      </w:tr>
    </w:tbl>
    <w:p>
      <w:pPr>
        <w:spacing w:after="80"/>
      </w:pPr>
    </w:p>
    <w:p>
      <w:pPr>
        <w:spacing w:after="120"/>
      </w:pPr>
      <w:r>
        <w:rPr>
          <w:b/>
          <w:bCs/>
        </w:rPr>
        <w:t xml:space="preserve">Cómo leerlo:</w:t>
      </w:r>
    </w:p>
    <w:p>
      <w:pPr>
        <w:pStyle w:val="ListParagraph"/>
        <w:numPr>
          <w:ilvl w:val="0"/>
          <w:numId w:val="3"/>
        </w:numPr>
        <w:spacing w:after="60"/>
      </w:pPr>
      <w:r>
        <w:t xml:space="preserve">Dos criterios explican las cifras distintas. Desde 2024 el MINSA usa el criterio de la OMS 2024 (menos casos); antes se usaba otro (más casos). No se pueden mezclar. En AndiBite usamos el criterio OMS 2024 y lo decimos cada vez.</w:t>
      </w:r>
    </w:p>
    <w:p>
      <w:pPr>
        <w:pStyle w:val="ListParagraph"/>
        <w:numPr>
          <w:ilvl w:val="0"/>
          <w:numId w:val="3"/>
        </w:numPr>
        <w:spacing w:after="60"/>
      </w:pPr>
      <w:r>
        <w:t xml:space="preserve">Uno de cada cuatro niños menores de 3 años de Lima tiene anemia (24.0 %), aunque sea la cifra más baja del país.</w:t>
      </w:r>
    </w:p>
    <w:p>
      <w:pPr>
        <w:pStyle w:val="ListParagraph"/>
        <w:numPr>
          <w:ilvl w:val="0"/>
          <w:numId w:val="3"/>
        </w:numPr>
        <w:spacing w:after="60"/>
      </w:pPr>
      <w:r>
        <w:t xml:space="preserve">El dato de 5 a 11 años viene de niños atendidos en establecimientos del MINSA, que son más de los NSE C, D y E. No existe una cifra pública de anemia en hogares A/B de Lima [POR CONFIRMAR]. Por eso en la comunicación hablamos de hierro, energía y rendimiento en el colegio, y no de anemia.</w:t>
      </w:r>
    </w:p>
    <w:p>
      <w:pPr>
        <w:pStyle w:val="ListParagraph"/>
        <w:numPr>
          <w:ilvl w:val="0"/>
          <w:numId w:val="3"/>
        </w:numPr>
        <w:spacing w:after="60"/>
      </w:pPr>
      <w:r>
        <w:t xml:space="preserve">La anemia no es "el problema que siente" el padre A/B. Lo que sí siente es el hierro bajo en el control del pediatra.</w:t>
      </w:r>
    </w:p>
    <w:p>
      <w:pPr>
        <w:pStyle w:val="Heading1"/>
      </w:pPr>
      <w:r>
        <w:t xml:space="preserve">5. Octógonos y confianza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4"/>
        <w:gridCol w:w="3404"/>
        <w:gridCol w:w="2552"/>
      </w:tblGrid>
      <w:tr>
        <w:trPr>
          <w:tblHeader/>
        </w:trPr>
        <w:tc>
          <w:tcPr>
            <w:tcW w:type="dxa" w:w="340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Hallazgo</w:t>
            </w:r>
          </w:p>
        </w:tc>
        <w:tc>
          <w:tcPr>
            <w:tcW w:type="dxa" w:w="340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Cifra</w:t>
            </w:r>
          </w:p>
        </w:tc>
        <w:tc>
          <w:tcPr>
            <w:tcW w:type="dxa" w:w="2552"/>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Fuente</w:t>
            </w:r>
          </w:p>
        </w:tc>
      </w:tr>
      <w:tr>
        <w:trPr>
          <w:tblHeader w:val="false"/>
        </w:trPr>
        <w:tc>
          <w:tcPr>
            <w:tcW w:type="dxa" w:w="340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Los octógonos influyen en sus compras</w:t>
            </w:r>
          </w:p>
        </w:tc>
        <w:tc>
          <w:tcPr>
            <w:tcW w:type="dxa" w:w="340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83 %</w:t>
            </w:r>
            <w:r>
              <w:rPr>
                <w:sz w:val="19"/>
                <w:szCs w:val="19"/>
              </w:rPr>
              <w:t xml:space="preserve"> (28 % dejó de comprar "casi todos" los productos con octógono y 33 % dejó "algunos")</w:t>
            </w:r>
          </w:p>
        </w:tc>
        <w:tc>
          <w:tcPr>
            <w:tcW w:type="dxa" w:w="255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Ipsos Perú, 21/02/2025</w:t>
            </w:r>
          </w:p>
        </w:tc>
      </w:tr>
      <w:tr>
        <w:trPr>
          <w:tblHeader w:val="false"/>
        </w:trPr>
        <w:tc>
          <w:tcPr>
            <w:tcW w:type="dxa" w:w="340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Octógono que más preocupa</w:t>
            </w:r>
          </w:p>
        </w:tc>
        <w:tc>
          <w:tcPr>
            <w:tcW w:type="dxa" w:w="340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"Alto en azúcar": 70 %</w:t>
            </w:r>
          </w:p>
        </w:tc>
        <w:tc>
          <w:tcPr>
            <w:tcW w:type="dxa" w:w="255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Ipsos Perú, 21/02/2025</w:t>
            </w:r>
          </w:p>
        </w:tc>
      </w:tr>
      <w:tr>
        <w:trPr>
          <w:tblHeader w:val="false"/>
        </w:trPr>
        <w:tc>
          <w:tcPr>
            <w:tcW w:type="dxa" w:w="340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Desconfía de que un alimento envasado sea realmente saludable</w:t>
            </w:r>
          </w:p>
        </w:tc>
        <w:tc>
          <w:tcPr>
            <w:tcW w:type="dxa" w:w="340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42 %</w:t>
            </w:r>
            <w:r>
              <w:rPr>
                <w:sz w:val="19"/>
                <w:szCs w:val="19"/>
              </w:rPr>
              <w:t xml:space="preserve">; 26 % dice que el etiquetado no es claro</w:t>
            </w:r>
          </w:p>
        </w:tc>
        <w:tc>
          <w:tcPr>
            <w:tcW w:type="dxa" w:w="255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Kantar, 2025</w:t>
            </w:r>
          </w:p>
        </w:tc>
      </w:tr>
      <w:tr>
        <w:trPr>
          <w:tblHeader w:val="false"/>
        </w:trPr>
        <w:tc>
          <w:tcPr>
            <w:tcW w:type="dxa" w:w="340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Hogares "activos" en salud</w:t>
            </w:r>
          </w:p>
        </w:tc>
        <w:tc>
          <w:tcPr>
            <w:tcW w:type="dxa" w:w="340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39.5 % (moderados 31.4 %, pasivos 29.1 %)</w:t>
            </w:r>
          </w:p>
        </w:tc>
        <w:tc>
          <w:tcPr>
            <w:tcW w:type="dxa" w:w="255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Kantar, 15/05/2025</w:t>
            </w:r>
          </w:p>
        </w:tc>
      </w:tr>
      <w:tr>
        <w:trPr>
          <w:tblHeader w:val="false"/>
        </w:trPr>
        <w:tc>
          <w:tcPr>
            <w:tcW w:type="dxa" w:w="340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Caída de compra por octógonos en hogares con niños menores de 5 años</w:t>
            </w:r>
          </w:p>
        </w:tc>
        <w:tc>
          <w:tcPr>
            <w:tcW w:type="dxa" w:w="340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3 veces mayor que en hogares sin hijos</w:t>
            </w:r>
          </w:p>
        </w:tc>
        <w:tc>
          <w:tcPr>
            <w:tcW w:type="dxa" w:w="255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Kantar, 2019 (dato antiguo, solo referencial)</w:t>
            </w:r>
          </w:p>
        </w:tc>
      </w:tr>
    </w:tbl>
    <w:p>
      <w:pPr>
        <w:spacing w:after="80"/>
      </w:pPr>
    </w:p>
    <w:p>
      <w:pPr>
        <w:spacing w:after="120"/>
      </w:pPr>
      <w:r>
        <w:rPr>
          <w:b/>
          <w:bCs/>
        </w:rPr>
        <w:t xml:space="preserve">Qué significa para AndiBite:</w:t>
      </w:r>
    </w:p>
    <w:p>
      <w:pPr>
        <w:pStyle w:val="ListParagraph"/>
        <w:numPr>
          <w:ilvl w:val="0"/>
          <w:numId w:val="3"/>
        </w:numPr>
        <w:spacing w:after="60"/>
      </w:pPr>
      <w:r>
        <w:t xml:space="preserve">Los octógonos pesan en la decisión. La meta "sin octógono" se confirma en laboratorio [POR CONFIRMAR] y es requisito para vender en colegios, donde solo se permiten productos sin octógonos (lineamientos del MINSA).</w:t>
      </w:r>
    </w:p>
    <w:p>
      <w:pPr>
        <w:pStyle w:val="ListParagraph"/>
        <w:numPr>
          <w:ilvl w:val="0"/>
          <w:numId w:val="3"/>
        </w:numPr>
        <w:spacing w:after="60"/>
      </w:pPr>
      <w:r>
        <w:t xml:space="preserve">Con 42 % de desconfianza, la promesa sola no alcanza. Por eso el mensaje central es "Hierro medido. Sabor a brownie." y el hierro de cada lote se publica en la app.</w:t>
      </w:r>
    </w:p>
    <w:p>
      <w:pPr>
        <w:pStyle w:val="ListParagraph"/>
        <w:numPr>
          <w:ilvl w:val="0"/>
          <w:numId w:val="3"/>
        </w:numPr>
        <w:spacing w:after="60"/>
      </w:pPr>
      <w:r>
        <w:t xml:space="preserve">Con prudencia: el 39.5 % de los hogares es "activo" en salud. Es mucha gente, pero no es todo el mercado.</w:t>
      </w:r>
    </w:p>
    <w:p>
      <w:pPr>
        <w:pStyle w:val="Heading1"/>
      </w:pPr>
      <w:r>
        <w:t xml:space="preserve">6. Snacks, galletas y loncheras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14"/>
        <w:gridCol w:w="3173"/>
        <w:gridCol w:w="3173"/>
      </w:tblGrid>
      <w:tr>
        <w:trPr>
          <w:tblHeader/>
        </w:trPr>
        <w:tc>
          <w:tcPr>
            <w:tcW w:type="dxa" w:w="301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Indicador</w:t>
            </w:r>
          </w:p>
        </w:tc>
        <w:tc>
          <w:tcPr>
            <w:tcW w:type="dxa" w:w="317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Cifra</w:t>
            </w:r>
          </w:p>
        </w:tc>
        <w:tc>
          <w:tcPr>
            <w:tcW w:type="dxa" w:w="317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Fuente</w:t>
            </w:r>
          </w:p>
        </w:tc>
      </w:tr>
      <w:tr>
        <w:trPr>
          <w:tblHeader w:val="false"/>
        </w:trPr>
        <w:tc>
          <w:tcPr>
            <w:tcW w:type="dxa" w:w="301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Hogares urbanos que compran snacks (penetración)</w:t>
            </w:r>
          </w:p>
        </w:tc>
        <w:tc>
          <w:tcPr>
            <w:tcW w:type="dxa" w:w="317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96.1 %</w:t>
            </w:r>
          </w:p>
        </w:tc>
        <w:tc>
          <w:tcPr>
            <w:tcW w:type="dxa" w:w="317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Kantar, 06/11/2025</w:t>
            </w:r>
          </w:p>
        </w:tc>
      </w:tr>
      <w:tr>
        <w:trPr>
          <w:tblHeader w:val="false"/>
        </w:trPr>
        <w:tc>
          <w:tcPr>
            <w:tcW w:type="dxa" w:w="301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Marcas que reúnen el 90 % del valor de snacks</w:t>
            </w:r>
          </w:p>
        </w:tc>
        <w:tc>
          <w:tcPr>
            <w:tcW w:type="dxa" w:w="317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11 (eran 4 en 2022)</w:t>
            </w:r>
          </w:p>
        </w:tc>
        <w:tc>
          <w:tcPr>
            <w:tcW w:type="dxa" w:w="317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Kantar, 06/11/2025</w:t>
            </w:r>
          </w:p>
        </w:tc>
      </w:tr>
      <w:tr>
        <w:trPr>
          <w:tblHeader w:val="false"/>
        </w:trPr>
        <w:tc>
          <w:tcPr>
            <w:tcW w:type="dxa" w:w="301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Frecuencia de compra de snacks por hogar</w:t>
            </w:r>
          </w:p>
        </w:tc>
        <w:tc>
          <w:tcPr>
            <w:tcW w:type="dxa" w:w="317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16.7 veces al año (antes 19)</w:t>
            </w:r>
          </w:p>
        </w:tc>
        <w:tc>
          <w:tcPr>
            <w:tcW w:type="dxa" w:w="317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Kantar, 06/11/2025</w:t>
            </w:r>
          </w:p>
        </w:tc>
      </w:tr>
      <w:tr>
        <w:trPr>
          <w:tblHeader w:val="false"/>
        </w:trPr>
        <w:tc>
          <w:tcPr>
            <w:tcW w:type="dxa" w:w="301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Loncheras de Lima con fruta o verdura / con agua</w:t>
            </w:r>
          </w:p>
        </w:tc>
        <w:tc>
          <w:tcPr>
            <w:tcW w:type="dxa" w:w="317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65 % / 53 %</w:t>
            </w:r>
          </w:p>
        </w:tc>
        <w:tc>
          <w:tcPr>
            <w:tcW w:type="dxa" w:w="317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Kantar, 13/03/2025</w:t>
            </w:r>
          </w:p>
        </w:tc>
      </w:tr>
      <w:tr>
        <w:trPr>
          <w:tblHeader w:val="false"/>
        </w:trPr>
        <w:tc>
          <w:tcPr>
            <w:tcW w:type="dxa" w:w="301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Loncheras del Perú con barra de cereal / galletas / yogur</w:t>
            </w:r>
          </w:p>
        </w:tc>
        <w:tc>
          <w:tcPr>
            <w:tcW w:type="dxa" w:w="317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22 % / 20 % / 39 %</w:t>
            </w:r>
          </w:p>
        </w:tc>
        <w:tc>
          <w:tcPr>
            <w:tcW w:type="dxa" w:w="317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Kantar, Loncheras 2024</w:t>
            </w:r>
          </w:p>
        </w:tc>
      </w:tr>
      <w:tr>
        <w:trPr>
          <w:tblHeader w:val="false"/>
        </w:trPr>
        <w:tc>
          <w:tcPr>
            <w:tcW w:type="dxa" w:w="301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Mercado de galletas en Perú, 2025</w:t>
            </w:r>
          </w:p>
        </w:tc>
        <w:tc>
          <w:tcPr>
            <w:tcW w:type="dxa" w:w="317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US$163.44 millones</w:t>
            </w:r>
            <w:r>
              <w:rPr>
                <w:sz w:val="19"/>
                <w:szCs w:val="19"/>
              </w:rPr>
              <w:t xml:space="preserve"> (unos S/561 millones)</w:t>
            </w:r>
          </w:p>
        </w:tc>
        <w:tc>
          <w:tcPr>
            <w:tcW w:type="dxa" w:w="317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Informes de Expertos, actualizado el 27/08/2026 [referencial]</w:t>
            </w:r>
          </w:p>
        </w:tc>
      </w:tr>
      <w:tr>
        <w:trPr>
          <w:tblHeader w:val="false"/>
        </w:trPr>
        <w:tc>
          <w:tcPr>
            <w:tcW w:type="dxa" w:w="301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Crecimiento proyectado del mercado de galletas</w:t>
            </w:r>
          </w:p>
        </w:tc>
        <w:tc>
          <w:tcPr>
            <w:tcW w:type="dxa" w:w="317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4.10 % anual</w:t>
            </w:r>
            <w:r>
              <w:rPr>
                <w:sz w:val="19"/>
                <w:szCs w:val="19"/>
              </w:rPr>
              <w:t xml:space="preserve"> de 2026 a 2035; llegaría a US$244.27 millones en 2035 (unos S/838 millones)</w:t>
            </w:r>
          </w:p>
        </w:tc>
        <w:tc>
          <w:tcPr>
            <w:tcW w:type="dxa" w:w="317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Informes de Expertos [referencial]</w:t>
            </w:r>
          </w:p>
        </w:tc>
      </w:tr>
      <w:tr>
        <w:trPr>
          <w:tblHeader w:val="false"/>
        </w:trPr>
        <w:tc>
          <w:tcPr>
            <w:tcW w:type="dxa" w:w="301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Consumo de galletas por persona</w:t>
            </w:r>
          </w:p>
        </w:tc>
        <w:tc>
          <w:tcPr>
            <w:tcW w:type="dxa" w:w="317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1.7 kg al año (2023)</w:t>
            </w:r>
          </w:p>
        </w:tc>
        <w:tc>
          <w:tcPr>
            <w:tcW w:type="dxa" w:w="317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Informes de Expertos [referencial]</w:t>
            </w:r>
          </w:p>
        </w:tc>
      </w:tr>
      <w:tr>
        <w:trPr>
          <w:tblHeader w:val="false"/>
        </w:trPr>
        <w:tc>
          <w:tcPr>
            <w:tcW w:type="dxa" w:w="301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Mercado de snacks saludables en Perú, 2025</w:t>
            </w:r>
          </w:p>
        </w:tc>
        <w:tc>
          <w:tcPr>
            <w:tcW w:type="dxa" w:w="317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US$557.23 millones (unos S/1,911 millones); crece 5.9 % anual hasta 2035</w:t>
            </w:r>
          </w:p>
        </w:tc>
        <w:tc>
          <w:tcPr>
            <w:tcW w:type="dxa" w:w="317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Informes de Expertos [referencial]</w:t>
            </w:r>
          </w:p>
        </w:tc>
      </w:tr>
      <w:tr>
        <w:trPr>
          <w:tblHeader w:val="false"/>
        </w:trPr>
        <w:tc>
          <w:tcPr>
            <w:tcW w:type="dxa" w:w="301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Mercado de barras nutricionales en Perú, 2025</w:t>
            </w:r>
          </w:p>
        </w:tc>
        <w:tc>
          <w:tcPr>
            <w:tcW w:type="dxa" w:w="317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US$4.95 millones (unos S/17.0 millones)</w:t>
            </w:r>
          </w:p>
        </w:tc>
        <w:tc>
          <w:tcPr>
            <w:tcW w:type="dxa" w:w="317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Informes de Expertos [referencial]</w:t>
            </w:r>
          </w:p>
        </w:tc>
      </w:tr>
    </w:tbl>
    <w:p>
      <w:pPr>
        <w:spacing w:after="80"/>
      </w:pPr>
    </w:p>
    <w:p>
      <w:pPr>
        <w:spacing w:after="120"/>
      </w:pPr>
      <w:r>
        <w:rPr>
          <w:b/>
          <w:bCs/>
        </w:rPr>
        <w:t xml:space="preserve">Cálculos de conversión.</w:t>
      </w:r>
      <w:r>
        <w:t xml:space="preserve"> Tipo de cambio S/3.43 por dólar (interbancario venta del 15-oct-2026, último dato publicado por el BCRP al 19-oct-2026; el documento 04 usa S/3.365, el promedio de agosto). Galletas 2025: 163.44 × 3.43 = S/561 millones. Galletas 2035: 244.27 × 3.43 = S/838 millones. Snacks saludables: 557.23 × 3.43 = S/1,911 millones. Barras nutricionales: 4.95 × 3.43 = S/17.0 millones.</w:t>
      </w:r>
    </w:p>
    <w:p>
      <w:pPr>
        <w:spacing w:after="120"/>
      </w:pPr>
      <w:r>
        <w:rPr>
          <w:b/>
          <w:bCs/>
        </w:rPr>
        <w:t xml:space="preserve">Cómo leerlo:</w:t>
      </w:r>
    </w:p>
    <w:p>
      <w:pPr>
        <w:pStyle w:val="ListParagraph"/>
        <w:numPr>
          <w:ilvl w:val="0"/>
          <w:numId w:val="3"/>
        </w:numPr>
        <w:spacing w:after="60"/>
      </w:pPr>
      <w:r>
        <w:rPr>
          <w:b/>
          <w:bCs/>
        </w:rPr>
        <w:t xml:space="preserve">Aviso de confiabilidad.</w:t>
      </w:r>
      <w:r>
        <w:t xml:space="preserve"> Informes de Expertos es una firma privada que no muestra su método en la parte pública. Las cifras de mercado sirven para dar el orden de magnitud y no para decidir la inversión. No encontramos una cifra oficial (INEI, gremio del sector) para el mercado de galletas. Queda [POR CONFIRMAR] contrastarla con Euromonitor o con Kantar.</w:t>
      </w:r>
    </w:p>
    <w:p>
      <w:pPr>
        <w:pStyle w:val="ListParagraph"/>
        <w:numPr>
          <w:ilvl w:val="0"/>
          <w:numId w:val="3"/>
        </w:numPr>
        <w:spacing w:after="60"/>
      </w:pPr>
      <w:r>
        <w:t xml:space="preserve">Las ventas del año 1 de AndiBite (S/244,728) son el 0.04 % del mercado de galletas (S/244,728 ÷ S/561 millones). No competimos por volumen sino por un nicho: el niño de 4 a 11 en un hogar A/B.</w:t>
      </w:r>
    </w:p>
    <w:p>
      <w:pPr>
        <w:pStyle w:val="ListParagraph"/>
        <w:numPr>
          <w:ilvl w:val="0"/>
          <w:numId w:val="3"/>
        </w:numPr>
        <w:spacing w:after="60"/>
      </w:pPr>
      <w:r>
        <w:t xml:space="preserve">El mercado de galletas crece despacio (4.1 % al año) y la gente compra snacks menos veces al año (16.7 frente a 19). Pero cada vez se concentra en menos marcas. Un snack distinto y con prueba (hierro medido) tiene espacio, aunque no es una apuesta de crecimiento rápido.</w:t>
      </w:r>
    </w:p>
    <w:p>
      <w:pPr>
        <w:pStyle w:val="ListParagraph"/>
        <w:numPr>
          <w:ilvl w:val="0"/>
          <w:numId w:val="3"/>
        </w:numPr>
        <w:spacing w:after="60"/>
      </w:pPr>
      <w:r>
        <w:t xml:space="preserve">Las loncheras de Lima llevan sobre todo fruta (65 %). AndiBite se posiciona como el sólido de la lonchera que acompaña a la fruta.</w:t>
      </w:r>
    </w:p>
    <w:p>
      <w:pPr>
        <w:pStyle w:val="Heading1"/>
      </w:pPr>
      <w:r>
        <w:t xml:space="preserve">7. Qué verificamos en la web (19 de octubre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1"/>
        <w:gridCol w:w="3554"/>
        <w:gridCol w:w="3555"/>
      </w:tblGrid>
      <w:tr>
        <w:trPr>
          <w:tblHeader/>
        </w:trPr>
        <w:tc>
          <w:tcPr>
            <w:tcW w:type="dxa" w:w="225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Dato</w:t>
            </w:r>
          </w:p>
        </w:tc>
        <w:tc>
          <w:tcPr>
            <w:tcW w:type="dxa" w:w="355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Versión que usamos</w:t>
            </w:r>
          </w:p>
        </w:tc>
        <w:tc>
          <w:tcPr>
            <w:tcW w:type="dxa" w:w="355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¿Hay una más reciente?</w:t>
            </w:r>
          </w:p>
        </w:tc>
      </w:tr>
      <w:tr>
        <w:trPr>
          <w:tblHeader w:val="false"/>
        </w:trPr>
        <w:tc>
          <w:tcPr>
            <w:tcW w:type="dxa" w:w="225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NSE de APEIM</w:t>
            </w:r>
          </w:p>
        </w:tc>
        <w:tc>
          <w:tcPr>
            <w:tcW w:type="dxa" w:w="355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NSE 2025 (setiembre de 2025, ENAHO 2024)</w:t>
            </w:r>
          </w:p>
        </w:tc>
        <w:tc>
          <w:tcPr>
            <w:tcW w:type="dxa" w:w="355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 hay NSE 2026 publicado. La web de APEIM solo muestra la "Presentación NSE 2025". El boletín APEIM News de agosto de 2026 anuncia la presentación de Niveles Socioeconómicos Perú para el </w:t>
            </w:r>
            <w:r>
              <w:rPr>
                <w:b/>
                <w:bCs/>
                <w:sz w:val="19"/>
                <w:szCs w:val="19"/>
              </w:rPr>
              <w:t xml:space="preserve">12 de noviembre</w:t>
            </w:r>
            <w:r>
              <w:rPr>
                <w:sz w:val="19"/>
                <w:szCs w:val="19"/>
              </w:rPr>
              <w:t xml:space="preserve">; el texto que leímos no dice el año ni vincula el anuncio con el Censo 2025. Hay que revisar el 12 de noviembre y actualizar este tema.</w:t>
            </w:r>
          </w:p>
        </w:tc>
      </w:tr>
      <w:tr>
        <w:trPr>
          <w:tblHeader w:val="false"/>
        </w:trPr>
        <w:tc>
          <w:tcPr>
            <w:tcW w:type="dxa" w:w="225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ENDES</w:t>
            </w:r>
          </w:p>
        </w:tc>
        <w:tc>
          <w:tcPr>
            <w:tcW w:type="dxa" w:w="355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ENDES 2025 para el total del país (34.9 % con OMS 2024; 43.4 % con el criterio anterior). ENDES 2024 para Lima Metropolitana (24.0 %)</w:t>
            </w:r>
          </w:p>
        </w:tc>
        <w:tc>
          <w:tcPr>
            <w:tcW w:type="dxa" w:w="355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ENDES 2025 salió en junio de 2026, pero no encontramos la cifra de Lima Metropolitana de 2025. Queda [POR CONFIRMAR]; se puede consultar en el capítulo de Lima Metropolitana de ENDES 2025 en el portal del INEI.</w:t>
            </w:r>
          </w:p>
        </w:tc>
      </w:tr>
      <w:tr>
        <w:trPr>
          <w:tblHeader w:val="false"/>
        </w:trPr>
        <w:tc>
          <w:tcPr>
            <w:tcW w:type="dxa" w:w="225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CPI (población y hogares)</w:t>
            </w:r>
          </w:p>
        </w:tc>
        <w:tc>
          <w:tcPr>
            <w:tcW w:type="dxa" w:w="355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Market Report N°003, marzo de 2026</w:t>
            </w:r>
          </w:p>
        </w:tc>
        <w:tc>
          <w:tcPr>
            <w:tcW w:type="dxa" w:w="355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 encontramos una versión posterior.</w:t>
            </w:r>
          </w:p>
        </w:tc>
      </w:tr>
      <w:tr>
        <w:trPr>
          <w:tblHeader w:val="false"/>
        </w:trPr>
        <w:tc>
          <w:tcPr>
            <w:tcW w:type="dxa" w:w="225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INEI, Censos 2025</w:t>
            </w:r>
          </w:p>
        </w:tc>
        <w:tc>
          <w:tcPr>
            <w:tcW w:type="dxa" w:w="355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Lima Metropolitana: 9.6 millones de habitantes (nota del 10/07/2026)</w:t>
            </w:r>
          </w:p>
        </w:tc>
        <w:tc>
          <w:tcPr>
            <w:tcW w:type="dxa" w:w="355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Es la cifra más reciente. APEIM y CPI todavía proyectan con el Censo 2017.</w:t>
            </w:r>
          </w:p>
        </w:tc>
      </w:tr>
      <w:tr>
        <w:trPr>
          <w:tblHeader w:val="false"/>
        </w:trPr>
        <w:tc>
          <w:tcPr>
            <w:tcW w:type="dxa" w:w="225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Octógonos (Ipsos)</w:t>
            </w:r>
          </w:p>
        </w:tc>
        <w:tc>
          <w:tcPr>
            <w:tcW w:type="dxa" w:w="355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83 %, 21/02/2025</w:t>
            </w:r>
          </w:p>
        </w:tc>
        <w:tc>
          <w:tcPr>
            <w:tcW w:type="dxa" w:w="355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 encontramos un estudio de octógonos de Ipsos de 2026.</w:t>
            </w:r>
          </w:p>
        </w:tc>
      </w:tr>
      <w:tr>
        <w:trPr>
          <w:tblHeader w:val="false"/>
        </w:trPr>
        <w:tc>
          <w:tcPr>
            <w:tcW w:type="dxa" w:w="225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Confianza y consumo saludable (Kantar)</w:t>
            </w:r>
          </w:p>
        </w:tc>
        <w:tc>
          <w:tcPr>
            <w:tcW w:type="dxa" w:w="355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42 % y 39.5 %, 2025</w:t>
            </w:r>
          </w:p>
        </w:tc>
        <w:tc>
          <w:tcPr>
            <w:tcW w:type="dxa" w:w="355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No encontramos un estudio de Kantar de 2026 sobre el tema.</w:t>
            </w:r>
          </w:p>
        </w:tc>
      </w:tr>
    </w:tbl>
    <w:p>
      <w:pPr>
        <w:spacing w:after="80"/>
      </w:pPr>
    </w:p>
    <w:p>
      <w:pPr>
        <w:spacing w:after="120"/>
      </w:pPr>
      <w:r>
        <w:rPr>
          <w:b/>
          <w:bCs/>
        </w:rPr>
        <w:t xml:space="preserve">Qué hacemos con esto.</w:t>
      </w:r>
      <w:r>
        <w:t xml:space="preserve"> Dejamos vigentes los datos de 2025 y el ajuste de −5 % por Censo 2025 del documento 04. Los cambios pendientes son la presentación de NSE de APEIM del 12 de noviembre y la cifra de anemia de Lima Metropolitana 2025.</w:t>
      </w:r>
    </w:p>
    <w:p>
      <w:pPr>
        <w:pStyle w:val="Heading1"/>
      </w:pPr>
      <w:r>
        <w:t xml:space="preserve">8. Lo que queda por confirmar</w:t>
      </w:r>
    </w:p>
    <w:p>
      <w:pPr>
        <w:pStyle w:val="ListParagraph"/>
        <w:numPr>
          <w:ilvl w:val="0"/>
          <w:numId w:val="3"/>
        </w:numPr>
        <w:spacing w:after="60"/>
      </w:pPr>
      <w:r>
        <w:t xml:space="preserve">Anemia en niños de 6 a 35 meses de Lima Metropolitana, ENDES 2025 [POR CONFIRMAR].</w:t>
      </w:r>
    </w:p>
    <w:p>
      <w:pPr>
        <w:pStyle w:val="ListParagraph"/>
        <w:numPr>
          <w:ilvl w:val="0"/>
          <w:numId w:val="3"/>
        </w:numPr>
        <w:spacing w:after="60"/>
      </w:pPr>
      <w:r>
        <w:t xml:space="preserve">Anemia en niños A/B de Lima: no existe cifra pública [POR CONFIRMAR].</w:t>
      </w:r>
    </w:p>
    <w:p>
      <w:pPr>
        <w:pStyle w:val="ListParagraph"/>
        <w:numPr>
          <w:ilvl w:val="0"/>
          <w:numId w:val="3"/>
        </w:numPr>
        <w:spacing w:after="60"/>
      </w:pPr>
      <w:r>
        <w:t xml:space="preserve">Tamaño del mercado de galletas con una fuente oficial o de Euromonitor [POR CONFIRMAR].</w:t>
      </w:r>
    </w:p>
    <w:p>
      <w:pPr>
        <w:pStyle w:val="ListParagraph"/>
        <w:numPr>
          <w:ilvl w:val="0"/>
          <w:numId w:val="3"/>
        </w:numPr>
        <w:spacing w:after="60"/>
      </w:pPr>
      <w:r>
        <w:t xml:space="preserve">NSE de APEIM con base en el Censo 2025: revisar el 12 de noviembre.</w:t>
      </w:r>
    </w:p>
    <w:p>
      <w:pPr>
        <w:pStyle w:val="ListParagraph"/>
        <w:numPr>
          <w:ilvl w:val="0"/>
          <w:numId w:val="3"/>
        </w:numPr>
        <w:spacing w:after="60"/>
      </w:pPr>
      <w:r>
        <w:t xml:space="preserve">La cifra de hogares con niños de 4 a 11 años en el núcleo (46,000) usa 1.3 niños por hogar [HIPÓTESIS]. Se ajusta con la encuesta de validación del documento 04.</w:t>
      </w:r>
    </w:p>
    <w:p>
      <w:pPr>
        <w:pStyle w:val="Heading1"/>
      </w:pPr>
      <w:r>
        <w:t xml:space="preserve">Fuentes</w:t>
      </w:r>
    </w:p>
    <w:p>
      <w:pPr>
        <w:pStyle w:val="ListParagraph"/>
        <w:numPr>
          <w:ilvl w:val="0"/>
          <w:numId w:val="4"/>
        </w:numPr>
        <w:spacing w:after="60"/>
      </w:pPr>
      <w:r>
        <w:t xml:space="preserve">APEIM. *Niveles Socioeconómicos 2025* (setiembre de 2025, data ENAHO 2024). https://apeim.com.pe/wp-content/uploads/2025/12/Informe-completo-de-NSE-2025.pdf</w:t>
      </w:r>
    </w:p>
    <w:p>
      <w:pPr>
        <w:pStyle w:val="ListParagraph"/>
        <w:numPr>
          <w:ilvl w:val="0"/>
          <w:numId w:val="4"/>
        </w:numPr>
        <w:spacing w:after="60"/>
      </w:pPr>
      <w:r>
        <w:t xml:space="preserve">APEIM. *APEIM News*, agosto de 2026 (anuncio de la presentación de NSE del 12 de noviembre). https://apeim.com.pe/wp-content/uploads/2026/08/APEIM-News-Agosto-1.pdf</w:t>
      </w:r>
    </w:p>
    <w:p>
      <w:pPr>
        <w:pStyle w:val="ListParagraph"/>
        <w:numPr>
          <w:ilvl w:val="0"/>
          <w:numId w:val="4"/>
        </w:numPr>
        <w:spacing w:after="60"/>
      </w:pPr>
      <w:r>
        <w:t xml:space="preserve">APEIM. Sitio web (consultado el 19/10/2026; sin NSE 2026). https://apeim.com.pe/</w:t>
      </w:r>
    </w:p>
    <w:p>
      <w:pPr>
        <w:pStyle w:val="ListParagraph"/>
        <w:numPr>
          <w:ilvl w:val="0"/>
          <w:numId w:val="4"/>
        </w:numPr>
        <w:spacing w:after="60"/>
      </w:pPr>
      <w:r>
        <w:t xml:space="preserve">CPI. *Market Report N°003: Perú, Población 2026* (marzo de 2026). https://cpi.pe/wp-content/uploads/2026/03/CPI_Market-Report-N°003-Proyecciones-Poblacionales-2025.pdf</w:t>
      </w:r>
    </w:p>
    <w:p>
      <w:pPr>
        <w:pStyle w:val="ListParagraph"/>
        <w:numPr>
          <w:ilvl w:val="0"/>
          <w:numId w:val="4"/>
        </w:numPr>
        <w:spacing w:after="60"/>
      </w:pPr>
      <w:r>
        <w:t xml:space="preserve">INEI. "Censos Nacionales 2025: Lima Metropolitana continúa siendo la provincia más poblada" (10/07/2026). https://www.gob.pe/institucion/inei/noticias/1417313-censos-nacionales-2025-lima-metropolitana-continua-siendo-la-provincia-mas-poblada</w:t>
      </w:r>
    </w:p>
    <w:p>
      <w:pPr>
        <w:pStyle w:val="ListParagraph"/>
        <w:numPr>
          <w:ilvl w:val="0"/>
          <w:numId w:val="4"/>
        </w:numPr>
        <w:spacing w:after="60"/>
      </w:pPr>
      <w:r>
        <w:t xml:space="preserve">INEI. "El 34,9 % de la población de 6 a 35 meses de edad sufrió de anemia en el 2025". https://www.gob.pe/institucion/inei/noticias/1392685-el-34-9-de-la-poblacion-de-6-a-35-meses-de-edad-sufrio-de-anemia-en-el-2025</w:t>
      </w:r>
    </w:p>
    <w:p>
      <w:pPr>
        <w:pStyle w:val="ListParagraph"/>
        <w:numPr>
          <w:ilvl w:val="0"/>
          <w:numId w:val="4"/>
        </w:numPr>
        <w:spacing w:after="60"/>
      </w:pPr>
      <w:r>
        <w:t xml:space="preserve">El Peruano. "Resultados de la ENDES 2025 destaca avances en vacunación infantil y reducción de la anemia" (19/06/2026). https://elperuano.pe/noticia/298332-resultados-de-la-endes-2025-destaca-avances-en-vacunacion-infantil-y-reduccion-de-la-anemia</w:t>
      </w:r>
    </w:p>
    <w:p>
      <w:pPr>
        <w:pStyle w:val="ListParagraph"/>
        <w:numPr>
          <w:ilvl w:val="0"/>
          <w:numId w:val="4"/>
        </w:numPr>
        <w:spacing w:after="60"/>
      </w:pPr>
      <w:r>
        <w:t xml:space="preserve">INEI. *ENDES 2024, Lima Metropolitana, capítulo 9 (anemia)*. https://proyectos.inei.gob.pe/endes/2024/departamentales/Endes15/pdf/Cap09.pdf</w:t>
      </w:r>
    </w:p>
    <w:p>
      <w:pPr>
        <w:pStyle w:val="ListParagraph"/>
        <w:numPr>
          <w:ilvl w:val="0"/>
          <w:numId w:val="4"/>
        </w:numPr>
        <w:spacing w:after="60"/>
      </w:pPr>
      <w:r>
        <w:t xml:space="preserve">MCLCP Lima Metropolitana. Acta 03-2025, presentación del INEI de resultados de ENDES 2024 (agosto de 2025). https://intranet.mesadeconcertacion.org.pe/storage/documentos/2025-08-18/acta-03-mclcp-lm-0625.pdf</w:t>
      </w:r>
    </w:p>
    <w:p>
      <w:pPr>
        <w:pStyle w:val="ListParagraph"/>
        <w:numPr>
          <w:ilvl w:val="0"/>
          <w:numId w:val="4"/>
        </w:numPr>
        <w:spacing w:after="60"/>
      </w:pPr>
      <w:r>
        <w:t xml:space="preserve">INS-CENAN. *Estado nutricional de niños peruanos de 5 a 11 años, SIEN-HIS 2024*. https://cdn.www.gob.pe/uploads/document/file/8148018/6822458-estado-nutricional-de-ninos-peruanos-de-5-a-11-anos-sien-his-2024.pdf</w:t>
      </w:r>
    </w:p>
    <w:p>
      <w:pPr>
        <w:pStyle w:val="ListParagraph"/>
        <w:numPr>
          <w:ilvl w:val="0"/>
          <w:numId w:val="4"/>
        </w:numPr>
        <w:spacing w:after="60"/>
      </w:pPr>
      <w:r>
        <w:t xml:space="preserve">Ipsos Perú. "83 % considera que los octógonos tienen impacto en sus compras" (21/02/2025). https://www.ipsos.com/es-pe/83-considera-que-los-octogonos-tienen-impacto-en-sus-compras</w:t>
      </w:r>
    </w:p>
    <w:p>
      <w:pPr>
        <w:pStyle w:val="ListParagraph"/>
        <w:numPr>
          <w:ilvl w:val="0"/>
          <w:numId w:val="4"/>
        </w:numPr>
        <w:spacing w:after="60"/>
      </w:pPr>
      <w:r>
        <w:t xml:space="preserve">Kantar. "Un 39 % de hogares peruanos considera que los retailers influyen en sus compras saludables" (15/05/2025). https://www.kantar.com/latin-america/inspiracion/consumidor/2025/consumo-saludable-peru-tendencia</w:t>
      </w:r>
    </w:p>
    <w:p>
      <w:pPr>
        <w:pStyle w:val="ListParagraph"/>
        <w:numPr>
          <w:ilvl w:val="0"/>
          <w:numId w:val="4"/>
        </w:numPr>
        <w:spacing w:after="60"/>
      </w:pPr>
      <w:r>
        <w:t xml:space="preserve">Kantar. "11 marcas representan el 90 % del consumo de snacks dentro de los hogares peruanos" (06/11/2025). https://www.kantar.com/latin-america/inspiracion/consumo-masivo/2025/tendencias-de-consumo-de-snacks-en-peru</w:t>
      </w:r>
    </w:p>
    <w:p>
      <w:pPr>
        <w:pStyle w:val="ListParagraph"/>
        <w:numPr>
          <w:ilvl w:val="0"/>
          <w:numId w:val="4"/>
        </w:numPr>
        <w:spacing w:after="60"/>
      </w:pPr>
      <w:r>
        <w:t xml:space="preserve">Kantar. "¿Cuáles alimentos hacen parte de las loncheras escolares en Perú?" (13/03/2025). https://www.kantar.com/latin-america/inspiracion/consumo-masivo/2025/tendencias-en-lonchera-escolar-en-peru</w:t>
      </w:r>
    </w:p>
    <w:p>
      <w:pPr>
        <w:pStyle w:val="ListParagraph"/>
        <w:numPr>
          <w:ilvl w:val="0"/>
          <w:numId w:val="4"/>
        </w:numPr>
        <w:spacing w:after="60"/>
      </w:pPr>
      <w:r>
        <w:t xml:space="preserve">Perú Retail, con datos de Kantar (16/09/2019). "Frecuencia de compra de yogur cae 27 % por octógonos". https://www.peru-retail.com/peru-frecuencia-de-compra-de-yogur-cae-27-por-octogonos/</w:t>
      </w:r>
    </w:p>
    <w:p>
      <w:pPr>
        <w:pStyle w:val="ListParagraph"/>
        <w:numPr>
          <w:ilvl w:val="0"/>
          <w:numId w:val="4"/>
        </w:numPr>
        <w:spacing w:after="60"/>
      </w:pPr>
      <w:r>
        <w:t xml:space="preserve">Informes de Expertos. "Mercado de galletas en Perú" (actualizado el 27/08/2026; referencial). https://www.informesdeexpertos.com/informes/mercado-de-galletas-en-peru</w:t>
      </w:r>
    </w:p>
    <w:p>
      <w:pPr>
        <w:pStyle w:val="ListParagraph"/>
        <w:numPr>
          <w:ilvl w:val="0"/>
          <w:numId w:val="4"/>
        </w:numPr>
        <w:spacing w:after="60"/>
      </w:pPr>
      <w:r>
        <w:t xml:space="preserve">Informes de Expertos. "Mercado de snacks saludables en Perú" (referencial). https://www.informesdeexpertos.com/informes/mercado-de-snacks-saludables-en-peru</w:t>
      </w:r>
    </w:p>
    <w:p>
      <w:pPr>
        <w:pStyle w:val="ListParagraph"/>
        <w:numPr>
          <w:ilvl w:val="0"/>
          <w:numId w:val="4"/>
        </w:numPr>
        <w:spacing w:after="60"/>
      </w:pPr>
      <w:r>
        <w:t xml:space="preserve">Informes de Expertos. "Mercado de barritas nutricionales en Perú" (referencial). https://www.informesdeexpertos.com/informes/mercado-de-barritas-nutricionales-en-peru</w:t>
      </w:r>
    </w:p>
    <w:p>
      <w:pPr>
        <w:pStyle w:val="ListParagraph"/>
        <w:numPr>
          <w:ilvl w:val="0"/>
          <w:numId w:val="4"/>
        </w:numPr>
        <w:spacing w:after="60"/>
      </w:pPr>
      <w:r>
        <w:t xml:space="preserve">BCRP. Tipo de cambio interbancario venta, serie diaria PD04638PD (15-oct-2026: S/3.428, redondeado a S/3.43). https://estadisticas.bcrp.gob.pe/estadisticas/series/api/PD04638PD/json/2026-10-01/2026-10-19/ing</w:t>
      </w:r>
    </w:p>
    <w:p>
      <w:pPr>
        <w:pStyle w:val="ListParagraph"/>
        <w:numPr>
          <w:ilvl w:val="0"/>
          <w:numId w:val="4"/>
        </w:numPr>
        <w:spacing w:after="60"/>
      </w:pPr>
      <w:r>
        <w:t xml:space="preserve">AndiBite. </w:t>
      </w:r>
      <w:r>
        <w:rPr>
          <w:rFonts w:ascii="Consolas" w:cs="Consolas" w:eastAsia="Consolas" w:hAnsi="Consolas"/>
          <w:color w:val="4A2018"/>
          <w:sz w:val="19"/>
          <w:szCs w:val="19"/>
        </w:rPr>
        <w:t xml:space="preserve">04-reformulacion/04-publico-objetivo-y-buyer-persona-con-datos.md</w:t>
      </w:r>
      <w:r>
        <w:t xml:space="preserve"> (embudo y datos de mercado), </w:t>
      </w:r>
      <w:r>
        <w:rPr>
          <w:rFonts w:ascii="Consolas" w:cs="Consolas" w:eastAsia="Consolas" w:hAnsi="Consolas"/>
          <w:color w:val="4A2018"/>
          <w:sz w:val="19"/>
          <w:szCs w:val="19"/>
        </w:rPr>
        <w:t xml:space="preserve">04-reformulacion/T2/HECHOS_v7.md</w:t>
      </w:r>
      <w:r>
        <w:t xml:space="preserve"> y </w:t>
      </w:r>
      <w:r>
        <w:rPr>
          <w:rFonts w:ascii="Consolas" w:cs="Consolas" w:eastAsia="Consolas" w:hAnsi="Consolas"/>
          <w:color w:val="4A2018"/>
          <w:sz w:val="19"/>
          <w:szCs w:val="19"/>
        </w:rPr>
        <w:t xml:space="preserve">04-reformulacion/Costeo-presentaciones-AndiBite.xlsx</w:t>
      </w:r>
      <w:r>
        <w:t xml:space="preserve"> (metas del año 1).</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3A2A"/>
        <w:sz w:val="16"/>
        <w:szCs w:val="16"/>
      </w:rPr>
      <w:t xml:space="preserve">AndiBite · Grupo 2 · T2 Plan de marketing · </w:t>
    </w:r>
    <w:r>
      <w:rPr>
        <w:color w:val="6B3A2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1A14"/>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BA4036"/>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4A20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3bc85121a884bb946cbd474e69e22b29ddd628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T2 · #05 Datos del mercado en números</dc:title>
  <dc:creator>Grupo 2</dc:creator>
  <cp:lastModifiedBy>Un-named</cp:lastModifiedBy>
  <cp:revision>1</cp:revision>
  <dcterms:created xsi:type="dcterms:W3CDTF">2026-10-19T01:28:15.679Z</dcterms:created>
  <dcterms:modified xsi:type="dcterms:W3CDTF">2026-10-19T01:28:15.680Z</dcterms:modified>
</cp:coreProperties>
</file>

<file path=docProps/custom.xml><?xml version="1.0" encoding="utf-8"?>
<Properties xmlns="http://schemas.openxmlformats.org/officeDocument/2006/custom-properties" xmlns:vt="http://schemas.openxmlformats.org/officeDocument/2006/docPropsVTypes"/>
</file>