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pPr>
      <w:r>
        <w:drawing>
          <wp:inline distT="0" distB="0" distL="0" distR="0">
            <wp:extent cx="1428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85775"/>
                    </a:xfrm>
                    <a:prstGeom prst="rect">
                      <a:avLst/>
                    </a:prstGeom>
                  </pic:spPr>
                </pic:pic>
              </a:graphicData>
            </a:graphic>
          </wp:inline>
        </w:drawing>
      </w:r>
    </w:p>
    <w:p>
      <w:pPr>
        <w:pStyle w:val="Title"/>
        <w:spacing w:after="80"/>
      </w:pPr>
      <w:r>
        <w:rPr>
          <w:rFonts w:ascii="Calibri" w:cs="Calibri" w:eastAsia="Calibri" w:hAnsi="Calibri"/>
          <w:b/>
          <w:bCs/>
          <w:color w:val="4A2018"/>
          <w:sz w:val="40"/>
          <w:szCs w:val="40"/>
        </w:rPr>
        <w:t xml:space="preserve">T2 · #07 Tres objetivos SMART y KPI</w:t>
      </w:r>
    </w:p>
    <w:p>
      <w:pPr>
        <w:pBdr>
          <w:bottom w:val="single" w:color="BA4036" w:sz="8" w:space="6"/>
        </w:pBdr>
        <w:spacing w:after="120"/>
      </w:pPr>
      <w:r>
        <w:rPr>
          <w:i/>
          <w:iCs/>
          <w:color w:val="6B3A2A"/>
          <w:sz w:val="20"/>
          <w:szCs w:val="20"/>
        </w:rPr>
        <w:t xml:space="preserve">Responsable: Adela (Ade) Robles · Grupo 2 · AndiBite · Propuesta para revisar</w:t>
      </w:r>
    </w:p>
    <w:p>
      <w:pPr>
        <w:spacing w:after="120"/>
      </w:pPr>
      <w:r>
        <w:t xml:space="preserve">Un objetivo SMART es un objetivo </w:t>
      </w:r>
      <w:r>
        <w:rPr>
          <w:b/>
          <w:bCs/>
        </w:rPr>
        <w:t xml:space="preserve">E</w:t>
      </w:r>
      <w:r>
        <w:t xml:space="preserve">specífico, </w:t>
      </w:r>
      <w:r>
        <w:rPr>
          <w:b/>
          <w:bCs/>
        </w:rPr>
        <w:t xml:space="preserve">M</w:t>
      </w:r>
      <w:r>
        <w:t xml:space="preserve">edible, </w:t>
      </w:r>
      <w:r>
        <w:rPr>
          <w:b/>
          <w:bCs/>
        </w:rPr>
        <w:t xml:space="preserve">A</w:t>
      </w:r>
      <w:r>
        <w:t xml:space="preserve">lcanzable, </w:t>
      </w:r>
      <w:r>
        <w:rPr>
          <w:b/>
          <w:bCs/>
        </w:rPr>
        <w:t xml:space="preserve">R</w:t>
      </w:r>
      <w:r>
        <w:t xml:space="preserve">elevante y con </w:t>
      </w:r>
      <w:r>
        <w:rPr>
          <w:b/>
          <w:bCs/>
        </w:rPr>
        <w:t xml:space="preserve">T</w:t>
      </w:r>
      <w:r>
        <w:t xml:space="preserve">iempo. KPI significa indicador clave: el número que miramos para saber si vamos bien. IGV es el impuesto general a las ventas (los precios al público lo incluyen). QR es el código que se lee con la cámara del celular. ODS son los Objetivos de Desarrollo Sostenible de la ONU. PESTEL es el análisis del entorno y FODA es el de fortalezas, oportunidades, debilidades y amenazas. En la clase (sesión 09) el ejemplo es: "Incrementar el market share en un 15 % al finalizar el primer semestre del 2025". AndiBite es una marca nueva y todavía no tiene participación de mercado, así que nuestro equivalente es la meta de ventas del año 1, que equivale al </w:t>
      </w:r>
      <w:r>
        <w:rPr>
          <w:b/>
          <w:bCs/>
        </w:rPr>
        <w:t xml:space="preserve">1.4 % del núcleo</w:t>
      </w:r>
      <w:r>
        <w:t xml:space="preserve"> del mercado (S/244,728 ÷ S/17.3 millones, tema #05).</w:t>
      </w:r>
    </w:p>
    <w:p>
      <w:pPr>
        <w:spacing w:after="120"/>
      </w:pPr>
      <w:r>
        <w:t xml:space="preserve">Los tres objetivos salen del documento 10 (</w:t>
      </w:r>
      <w:r>
        <w:rPr>
          <w:rFonts w:ascii="Consolas" w:cs="Consolas" w:eastAsia="Consolas" w:hAnsi="Consolas"/>
          <w:color w:val="4A2018"/>
          <w:sz w:val="19"/>
          <w:szCs w:val="19"/>
        </w:rPr>
        <w:t xml:space="preserve">10-plan-de-marketing-2027.md</w:t>
      </w:r>
      <w:r>
        <w:t xml:space="preserve">, sección 2) y del Excel v7 (</w:t>
      </w:r>
      <w:r>
        <w:rPr>
          <w:rFonts w:ascii="Consolas" w:cs="Consolas" w:eastAsia="Consolas" w:hAnsi="Consolas"/>
          <w:color w:val="4A2018"/>
          <w:sz w:val="19"/>
          <w:szCs w:val="19"/>
        </w:rPr>
        <w:t xml:space="preserve">Costeo-presentaciones-AndiBite.xlsx</w:t>
      </w:r>
      <w:r>
        <w:t xml:space="preserve">). No cambian cifras: las ordenan en tres ideas simples. Responden al análisis situacional disponible hoy: el PESTEL (hecho por Angie), el tema #8 (qué le importa al cliente) y el documento 04 (público y datos de mercado). </w:t>
      </w:r>
      <w:r>
        <w:rPr>
          <w:b/>
          <w:bCs/>
        </w:rPr>
        <w:t xml:space="preserve">El FODA (#4) todavía no está.</w:t>
      </w:r>
      <w:r>
        <w:t xml:space="preserve"> Cuando esté, hay que revisar que cada objetivo use una fortaleza o una oportunidad y cubra una debilidad o una amenaza.</w:t>
      </w:r>
    </w:p>
    <w:p>
      <w:pPr>
        <w:pStyle w:val="Heading1"/>
      </w:pPr>
      <w:r>
        <w:t xml:space="preserve">1. Los tres objetivos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Objetivo</w:t>
            </w:r>
          </w:p>
        </w:tc>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Estrategia</w:t>
            </w:r>
          </w:p>
        </w:tc>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Tiempo</w:t>
            </w:r>
          </w:p>
        </w:tc>
        <w:tc>
          <w:tcPr>
            <w:tcW w:type="dxa" w:w="234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KPI</w:t>
            </w:r>
          </w:p>
        </w:tc>
      </w:tr>
      <w:tr>
        <w:trPr>
          <w:tblHeader w:val="false"/>
        </w:trPr>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1. Ventas.</w:t>
            </w:r>
            <w:r>
              <w:rPr>
                <w:sz w:val="19"/>
                <w:szCs w:val="19"/>
              </w:rPr>
              <w:t xml:space="preserve"> Vender </w:t>
            </w:r>
            <w:r>
              <w:rPr>
                <w:b/>
                <w:bCs/>
                <w:sz w:val="19"/>
                <w:szCs w:val="19"/>
              </w:rPr>
              <w:t xml:space="preserve">52,331 brownies y S/244,728 con IGV</w:t>
            </w:r>
            <w:r>
              <w:rPr>
                <w:sz w:val="19"/>
                <w:szCs w:val="19"/>
              </w:rPr>
              <w:t xml:space="preserve"> en 2027 (3,700 en enero y febrero; 20,320 de marzo a julio; 28,311 de agosto a diciembre)</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Venta física como canal principal, igual esfuerzo para el padre A y el padre B. Stands en 3 puntos (Jockey Plaza desde enero, punto 2 desde febrero y punto 3 desde agosto), 2 ferias pagadas (campaña escolar y Día del Niño Peruano), 40 eventos sin costo, colegios desde marzo y tiendas naturistas. Degustación con el niño delante y presupuesto de S/900 al mes (S/700 de pauta, degustación y material, más S/200 de embajadoras)</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Del 1 de enero al 31 de diciembre de 2027. Revisión cada domingo y cierre cada mes</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Brownies del mes frente al Excel (de 870 a 6,011). Ventas del mes con IGV (de S/4,280 a S/27,131). Brownies por día en cada punto (50 en enero, 80 en febrero, 100 en marzo y luego 80 a 90; mínimo 65)</w:t>
            </w:r>
          </w:p>
        </w:tc>
      </w:tr>
      <w:tr>
        <w:trPr>
          <w:tblHeader w:val="false"/>
        </w:trPr>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2. Recompra y fidelización.</w:t>
            </w:r>
            <w:r>
              <w:rPr>
                <w:sz w:val="19"/>
                <w:szCs w:val="19"/>
              </w:rPr>
              <w:t xml:space="preserve"> Lograr que </w:t>
            </w:r>
            <w:r>
              <w:rPr>
                <w:b/>
                <w:bCs/>
                <w:sz w:val="19"/>
                <w:szCs w:val="19"/>
              </w:rPr>
              <w:t xml:space="preserve">35 %</w:t>
            </w:r>
            <w:r>
              <w:rPr>
                <w:sz w:val="19"/>
                <w:szCs w:val="19"/>
              </w:rPr>
              <w:t xml:space="preserve"> de lo vendido en físico vuelva por WhatsApp (9,421 brownies, 18 % del total), tener unos </w:t>
            </w:r>
            <w:r>
              <w:rPr>
                <w:b/>
                <w:bCs/>
                <w:sz w:val="19"/>
                <w:szCs w:val="19"/>
              </w:rPr>
              <w:t xml:space="preserve">2,300 contactos</w:t>
            </w:r>
            <w:r>
              <w:rPr>
                <w:sz w:val="19"/>
                <w:szCs w:val="19"/>
              </w:rPr>
              <w:t xml:space="preserve"> con permiso (2,338 al cierre, según el documento 10) y que </w:t>
            </w:r>
            <w:r>
              <w:rPr>
                <w:b/>
                <w:bCs/>
                <w:sz w:val="19"/>
                <w:szCs w:val="19"/>
              </w:rPr>
              <w:t xml:space="preserve">30 %</w:t>
            </w:r>
            <w:r>
              <w:rPr>
                <w:sz w:val="19"/>
                <w:szCs w:val="19"/>
              </w:rPr>
              <w:t xml:space="preserve"> de los envases sea escaneado</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Un QR en cada envase que abre la app "Andi, Misión Hierro" (hierro medido del lote, semáforo semanal, aviso cuando se acaba el pack, recompra en 1 clic por WhatsApp). El vendedor pide el contacto en el stand (1 por cada 15 brownies) y escanea con el padre en la venta. Entrega agrupada 2 días por semana, sin suscripción</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Del 1 de enero al 31 de diciembre de 2027. Hitos: 100 contactos en espera en diciembre de 2026; 15 % de escaneo en enero y 33 % en octubre; contactos y recompra medidos cada mes</w:t>
            </w:r>
          </w:p>
        </w:tc>
        <w:tc>
          <w:tcPr>
            <w:tcW w:type="dxa" w:w="234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Recompra por WhatsApp (% del físico del mes anterior; alerta si baja de 20 % durante 2 meses). Contactos con permiso (base de 2,338 al cierre de 2027). Envases escaneados (30.2 % en el año)</w:t>
            </w:r>
          </w:p>
        </w:tc>
      </w:tr>
      <w:tr>
        <w:trPr>
          <w:tblHeader w:val="false"/>
        </w:trPr>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3. Captación y posicionamiento.</w:t>
            </w:r>
            <w:r>
              <w:rPr>
                <w:sz w:val="19"/>
                <w:szCs w:val="19"/>
              </w:rPr>
              <w:t xml:space="preserve"> Traer </w:t>
            </w:r>
            <w:r>
              <w:rPr>
                <w:b/>
                <w:bCs/>
                <w:sz w:val="19"/>
                <w:szCs w:val="19"/>
              </w:rPr>
              <w:t xml:space="preserve">230 familias nuevas</w:t>
            </w:r>
            <w:r>
              <w:rPr>
                <w:sz w:val="19"/>
                <w:szCs w:val="19"/>
              </w:rPr>
              <w:t xml:space="preserve"> con código de mamá embajadora y abrir </w:t>
            </w:r>
            <w:r>
              <w:rPr>
                <w:b/>
                <w:bCs/>
                <w:sz w:val="19"/>
                <w:szCs w:val="19"/>
              </w:rPr>
              <w:t xml:space="preserve">5 colegios</w:t>
            </w:r>
            <w:r>
              <w:rPr>
                <w:sz w:val="19"/>
                <w:szCs w:val="19"/>
              </w:rPr>
              <w:t xml:space="preserve"> con quiosco (2 de Lima Top, A, y 3 de pensión media, B)</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Mamás embajadoras con S/200 al mes (unas 20 familias nuevas por mes) y el premio siempre para el padre, nunca para el niño. En colegios: quioscos de productos sin octógonos, con el mensaje "Hierro medido. Sabor a brownie." y el aval de pediatras y nutricionistas. Se empieza por un colegio de Lima Top y uno de cadena de pensión media</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Familias: 10 en enero y 20 al mes desde febrero, hasta el 31 de diciembre de 2027. Colegios: 1 en marzo, 3 en mayo y 5 en octubre de 2027</w:t>
            </w:r>
          </w:p>
        </w:tc>
        <w:tc>
          <w:tcPr>
            <w:tcW w:type="dxa" w:w="234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Familias nuevas con código usado (en WhatsApp o en el stand), por mes y acumuladas. Colegios con pedido en el mes. Brownies a colegios (de 300 en marzo a 1,500 en octubre)</w:t>
            </w:r>
          </w:p>
        </w:tc>
      </w:tr>
    </w:tbl>
    <w:p>
      <w:pPr>
        <w:spacing w:after="80"/>
      </w:pPr>
    </w:p>
    <w:p>
      <w:pPr>
        <w:pStyle w:val="Heading1"/>
      </w:pPr>
      <w:r>
        <w:t xml:space="preserve">2. Por qué cada objetivo es SMART</w:t>
      </w:r>
    </w:p>
    <w:p>
      <w:pPr>
        <w:pStyle w:val="Heading2"/>
      </w:pPr>
      <w:r>
        <w:t xml:space="preserve">Objetivo 1. 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8023"/>
      </w:tblGrid>
      <w:tr>
        <w:trPr>
          <w:tblHeader/>
        </w:trPr>
        <w:tc>
          <w:tcPr>
            <w:tcW w:type="dxa" w:w="133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Criterio</w:t>
            </w:r>
          </w:p>
        </w:tc>
        <w:tc>
          <w:tcPr>
            <w:tcW w:type="dxa" w:w="802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Por qué se cumple</w:t>
            </w:r>
          </w:p>
        </w:tc>
      </w:tr>
      <w:tr>
        <w:trPr>
          <w:tblHeader w:val="false"/>
        </w:trPr>
        <w:tc>
          <w:tcPr>
            <w:tcW w:type="dxa" w:w="133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Específico</w:t>
            </w:r>
          </w:p>
        </w:tc>
        <w:tc>
          <w:tcPr>
            <w:tcW w:type="dxa" w:w="80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Dice qué (brownies y ventas), cuánto (52,331 y S/244,728) y por qué canal (stands, ferias y eventos, WhatsApp, colegios y naturistas). Se parte en tres tramos: 3,700, 20,320 y 28,311 brownies</w:t>
            </w:r>
          </w:p>
        </w:tc>
      </w:tr>
      <w:tr>
        <w:trPr>
          <w:tblHeader w:val="false"/>
        </w:trPr>
        <w:tc>
          <w:tcPr>
            <w:tcW w:type="dxa" w:w="133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Medible</w:t>
            </w:r>
          </w:p>
        </w:tc>
        <w:tc>
          <w:tcPr>
            <w:tcW w:type="dxa" w:w="802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El cierre de ventas de cada domingo se compara con el Excel v7, hoja Mensual. Carlos consolida</w:t>
            </w:r>
          </w:p>
        </w:tc>
      </w:tr>
      <w:tr>
        <w:trPr>
          <w:tblHeader w:val="false"/>
        </w:trPr>
        <w:tc>
          <w:tcPr>
            <w:tcW w:type="dxa" w:w="133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Alcanzable</w:t>
            </w:r>
          </w:p>
        </w:tc>
        <w:tc>
          <w:tcPr>
            <w:tcW w:type="dxa" w:w="80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Las ventas por punto necesarias (80 a 90 brownies por día) están por encima del mínimo para no perder (65 por día). La meta equivale al 1.4 % del núcleo, una cuota baja. Con 20 % menos de ventas en los stands el año todavía gana (S/608) y la línea de crédito cubre la caja. Lo que no está probado es el ritmo diario real: es [HIPÓTESIS] hasta tener enero y febrero</w:t>
            </w:r>
          </w:p>
        </w:tc>
      </w:tr>
      <w:tr>
        <w:trPr>
          <w:tblHeader w:val="false"/>
        </w:trPr>
        <w:tc>
          <w:tcPr>
            <w:tcW w:type="dxa" w:w="133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Relevante</w:t>
            </w:r>
          </w:p>
        </w:tc>
        <w:tc>
          <w:tcPr>
            <w:tcW w:type="dxa" w:w="802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Es la base del modelo financiero: resultado operativo de S/13,423 (6.5 %) y recuperación de la inversión de S/40,876 en el mes 23. Sin esta venta no se financian el marketing (S/24,544) ni el préstamo. Aporta al ODS 8 (trabajo decente): todo el personal cobra</w:t>
            </w:r>
          </w:p>
        </w:tc>
      </w:tr>
      <w:tr>
        <w:trPr>
          <w:tblHeader w:val="false"/>
        </w:trPr>
        <w:tc>
          <w:tcPr>
            <w:tcW w:type="dxa" w:w="133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Tiempo</w:t>
            </w:r>
          </w:p>
        </w:tc>
        <w:tc>
          <w:tcPr>
            <w:tcW w:type="dxa" w:w="80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Año calendario 2027, con hitos en febrero (3,700), julio (24,020 acumulados) y diciembre (52,331)</w:t>
            </w:r>
          </w:p>
        </w:tc>
      </w:tr>
    </w:tbl>
    <w:p>
      <w:pPr>
        <w:spacing w:after="80"/>
      </w:pPr>
    </w:p>
    <w:p>
      <w:pPr>
        <w:spacing w:after="120"/>
      </w:pPr>
      <w:r>
        <w:t xml:space="preserve">Cálculo del hito de julio: 3,700 + 20,320 = 24,020 brownies de enero a julio. Revisión: la suma de enero a julio de la hoja Mensual (870 + 2,830 + 3,734 + 4,420 + 4,304 + 4,038 + 3,824) es 24,020.</w:t>
      </w:r>
    </w:p>
    <w:p>
      <w:pPr>
        <w:pStyle w:val="Heading2"/>
      </w:pPr>
      <w:r>
        <w:t xml:space="preserve">Objetivo 2. Recompra y fidelización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8023"/>
      </w:tblGrid>
      <w:tr>
        <w:trPr>
          <w:tblHeader/>
        </w:trPr>
        <w:tc>
          <w:tcPr>
            <w:tcW w:type="dxa" w:w="133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Criterio</w:t>
            </w:r>
          </w:p>
        </w:tc>
        <w:tc>
          <w:tcPr>
            <w:tcW w:type="dxa" w:w="802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Por qué se cumple</w:t>
            </w:r>
          </w:p>
        </w:tc>
      </w:tr>
      <w:tr>
        <w:trPr>
          <w:tblHeader w:val="false"/>
        </w:trPr>
        <w:tc>
          <w:tcPr>
            <w:tcW w:type="dxa" w:w="133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Específico</w:t>
            </w:r>
          </w:p>
        </w:tc>
        <w:tc>
          <w:tcPr>
            <w:tcW w:type="dxa" w:w="80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Tres números con dueño: 35 % de recompra, 2,300 contactos con permiso y 30 % de envases escaneados. Todos pasan por WhatsApp y la app</w:t>
            </w:r>
          </w:p>
        </w:tc>
      </w:tr>
      <w:tr>
        <w:trPr>
          <w:tblHeader w:val="false"/>
        </w:trPr>
        <w:tc>
          <w:tcPr>
            <w:tcW w:type="dxa" w:w="133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Medible</w:t>
            </w:r>
          </w:p>
        </w:tc>
        <w:tc>
          <w:tcPr>
            <w:tcW w:type="dxa" w:w="802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La recompra sale de los pedidos de WhatsApp Business (coordinadora). Los contactos, de la hoja de contactos. Los escaneos, del panel de la app (</w:t>
            </w:r>
            <w:r>
              <w:rPr>
                <w:rFonts w:ascii="Consolas" w:cs="Consolas" w:eastAsia="Consolas" w:hAnsi="Consolas"/>
                <w:color w:val="4A2018"/>
                <w:sz w:val="19"/>
                <w:szCs w:val="19"/>
              </w:rPr>
              <w:t xml:space="preserve">/admin</w:t>
            </w:r>
            <w:r>
              <w:rPr>
                <w:sz w:val="19"/>
                <w:szCs w:val="19"/>
              </w:rPr>
              <w:t xml:space="preserve">, Angie)</w:t>
            </w:r>
          </w:p>
        </w:tc>
      </w:tr>
      <w:tr>
        <w:trPr>
          <w:tblHeader w:val="false"/>
        </w:trPr>
        <w:tc>
          <w:tcPr>
            <w:tcW w:type="dxa" w:w="133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Alcanzable</w:t>
            </w:r>
          </w:p>
        </w:tc>
        <w:tc>
          <w:tcPr>
            <w:tcW w:type="dxa" w:w="80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Con 2,000 contactos basta que compre 1 de cada 15 cada mes para llegar a unos 135 pedidos al mes, que es lo que pide el Excel (de 135 a 140 pedidos al mes de octubre a diciembre). El 35 % de recompra es [HIPÓTESIS] (el Excel lo fija así); si baja de 20 % durante 2 meses, se corrige con el aviso de la app antes de gastar más en pauta. El 30 % de escaneos es [META PROPUESTA] del documento 09</w:t>
            </w:r>
          </w:p>
        </w:tc>
      </w:tr>
      <w:tr>
        <w:trPr>
          <w:tblHeader w:val="false"/>
        </w:trPr>
        <w:tc>
          <w:tcPr>
            <w:tcW w:type="dxa" w:w="133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Relevante</w:t>
            </w:r>
          </w:p>
        </w:tc>
        <w:tc>
          <w:tcPr>
            <w:tcW w:type="dxa" w:w="802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La recompra es el 18 % de las unidades y es el canal con menor costo de captar al cliente: ya compró una vez. Los contactos con permiso son el medio propio de AndiBite y se piden con permiso, como pide la Ley 29733 (datos personales). Los escaneos muestran el hierro del lote, que es la prueba que responde al 42 % que desconfía de lo envasado (Kantar 2025, tema #05)</w:t>
            </w:r>
          </w:p>
        </w:tc>
      </w:tr>
      <w:tr>
        <w:trPr>
          <w:tblHeader w:val="false"/>
        </w:trPr>
        <w:tc>
          <w:tcPr>
            <w:tcW w:type="dxa" w:w="133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Tiempo</w:t>
            </w:r>
          </w:p>
        </w:tc>
        <w:tc>
          <w:tcPr>
            <w:tcW w:type="dxa" w:w="80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Hasta el 31 de diciembre de 2027, con hitos mensuales: 15 % de escaneo en enero, 20 % en febrero y 33 % en octubre</w:t>
            </w:r>
          </w:p>
        </w:tc>
      </w:tr>
    </w:tbl>
    <w:p>
      <w:pPr>
        <w:spacing w:after="80"/>
      </w:pPr>
    </w:p>
    <w:p>
      <w:pPr>
        <w:pStyle w:val="Heading2"/>
      </w:pPr>
      <w:r>
        <w:t xml:space="preserve">Objetivo 3. Captación y posicionamiento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8023"/>
      </w:tblGrid>
      <w:tr>
        <w:trPr>
          <w:tblHeader/>
        </w:trPr>
        <w:tc>
          <w:tcPr>
            <w:tcW w:type="dxa" w:w="1337"/>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Criterio</w:t>
            </w:r>
          </w:p>
        </w:tc>
        <w:tc>
          <w:tcPr>
            <w:tcW w:type="dxa" w:w="802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Por qué se cumple</w:t>
            </w:r>
          </w:p>
        </w:tc>
      </w:tr>
      <w:tr>
        <w:trPr>
          <w:tblHeader w:val="false"/>
        </w:trPr>
        <w:tc>
          <w:tcPr>
            <w:tcW w:type="dxa" w:w="133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Específico</w:t>
            </w:r>
          </w:p>
        </w:tc>
        <w:tc>
          <w:tcPr>
            <w:tcW w:type="dxa" w:w="80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Dos metas concretas: 230 familias nuevas con código de embajadora y 5 colegios con quiosco (2 A y 3 B). Dice cómo (embajadoras y quioscos) y a quién (padres de 4 a 11 años en colegio privado)</w:t>
            </w:r>
          </w:p>
        </w:tc>
      </w:tr>
      <w:tr>
        <w:trPr>
          <w:tblHeader w:val="false"/>
        </w:trPr>
        <w:tc>
          <w:tcPr>
            <w:tcW w:type="dxa" w:w="133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Medible</w:t>
            </w:r>
          </w:p>
        </w:tc>
        <w:tc>
          <w:tcPr>
            <w:tcW w:type="dxa" w:w="802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Se cuentan los códigos usados en WhatsApp y en el stand (coordinadora) y los colegios con pedido en el mes (Carlos)</w:t>
            </w:r>
          </w:p>
        </w:tc>
      </w:tr>
      <w:tr>
        <w:trPr>
          <w:tblHeader w:val="false"/>
        </w:trPr>
        <w:tc>
          <w:tcPr>
            <w:tcW w:type="dxa" w:w="133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Alcanzable</w:t>
            </w:r>
          </w:p>
        </w:tc>
        <w:tc>
          <w:tcPr>
            <w:tcW w:type="dxa" w:w="80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Las 230 familias salen de dividir el presupuesto de las embajadoras entre el premio: S/200 al mes ÷ unos S/10 por premio = 20 familias al mes; 10 en enero + 20 × 11 meses = 230. Cinco colegios son 1,500 brownies al mes (5 × 300), una cuarta parte de las ventas de octubre (1,500 ÷ 6,011 = 25 %). Depende de que "sin octógono" se confirme en laboratorio [POR CONFIRMAR]; sin eso no hay quiosco</w:t>
            </w:r>
          </w:p>
        </w:tc>
      </w:tr>
      <w:tr>
        <w:trPr>
          <w:tblHeader w:val="false"/>
        </w:trPr>
        <w:tc>
          <w:tcPr>
            <w:tcW w:type="dxa" w:w="1337"/>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Relevante</w:t>
            </w:r>
          </w:p>
        </w:tc>
        <w:tc>
          <w:tcPr>
            <w:tcW w:type="dxa" w:w="802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Posiciona la marca donde el padre decide: el chat del salón, la recomendación de otra madre y la lonchera del colegio. En el mercado de snacks hay 11 marcas que suman el 90 % del valor (Kantar 2025), así que se entra por confianza y recomendación, no por pauta masiva. Aporta al ODS 2 (hambre cero, meta 2.2) y al ODS 3 (salud y bienestar): el niño recibe hierro y menos azúcar</w:t>
            </w:r>
          </w:p>
        </w:tc>
      </w:tr>
      <w:tr>
        <w:trPr>
          <w:tblHeader w:val="false"/>
        </w:trPr>
        <w:tc>
          <w:tcPr>
            <w:tcW w:type="dxa" w:w="1337"/>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Tiempo</w:t>
            </w:r>
          </w:p>
        </w:tc>
        <w:tc>
          <w:tcPr>
            <w:tcW w:type="dxa" w:w="80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Hasta el 31 de diciembre de 2027 (familias) y hasta octubre de 2027 (colegios), con hitos en marzo (1), mayo (3) y octubre (5)</w:t>
            </w:r>
          </w:p>
        </w:tc>
      </w:tr>
    </w:tbl>
    <w:p>
      <w:pPr>
        <w:spacing w:after="80"/>
      </w:pPr>
    </w:p>
    <w:p>
      <w:pPr>
        <w:pStyle w:val="Heading1"/>
      </w:pPr>
      <w:r>
        <w:t xml:space="preserve">3. Qué queda fuera de los tres objetivos</w:t>
      </w:r>
    </w:p>
    <w:p>
      <w:pPr>
        <w:spacing w:after="120"/>
      </w:pPr>
      <w:r>
        <w:t xml:space="preserve">El documento 10 tiene 5 objetivos. Aquí se agrupan en 3 para que sean claros y fáciles de controlar:</w:t>
      </w:r>
    </w:p>
    <w:p>
      <w:pPr>
        <w:pStyle w:val="ListParagraph"/>
        <w:numPr>
          <w:ilvl w:val="0"/>
          <w:numId w:val="2"/>
        </w:numPr>
        <w:spacing w:after="60"/>
      </w:pPr>
      <w:r>
        <w:t xml:space="preserve">El objetivo 3 del documento 10 (30 % de envases escaneados) se junta con la recompra, porque la app es el medio de recompra.</w:t>
      </w:r>
    </w:p>
    <w:p>
      <w:pPr>
        <w:pStyle w:val="ListParagraph"/>
        <w:numPr>
          <w:ilvl w:val="0"/>
          <w:numId w:val="2"/>
        </w:numPr>
        <w:spacing w:after="60"/>
      </w:pPr>
      <w:r>
        <w:t xml:space="preserve">El objetivo 5 del documento 10 incluye </w:t>
      </w:r>
      <w:r>
        <w:rPr>
          <w:b/>
          <w:bCs/>
        </w:rPr>
        <w:t xml:space="preserve">8 tiendas naturistas a diciembre de 2027</w:t>
      </w:r>
      <w:r>
        <w:t xml:space="preserve">. Son 3,720 brownies que ya están dentro del objetivo 1 de ventas. Se controlan en el tema #19 como KPI de apoyo.</w:t>
      </w:r>
    </w:p>
    <w:p>
      <w:pPr>
        <w:pStyle w:val="ListParagraph"/>
        <w:numPr>
          <w:ilvl w:val="0"/>
          <w:numId w:val="2"/>
        </w:numPr>
        <w:spacing w:after="60"/>
      </w:pPr>
      <w:r>
        <w:t xml:space="preserve">Los </w:t>
      </w:r>
      <w:r>
        <w:rPr>
          <w:b/>
          <w:bCs/>
        </w:rPr>
        <w:t xml:space="preserve">seguidores de Instagram</w:t>
      </w:r>
      <w:r>
        <w:t xml:space="preserve"> (500 en diciembre de 2026 y 4,000 en diciembre de 2027) son una meta propuesta y es la menos respaldada: se tratan como indicador de apoyo, no como objetivo.</w:t>
      </w:r>
    </w:p>
    <w:p>
      <w:pPr>
        <w:pStyle w:val="ListParagraph"/>
        <w:numPr>
          <w:ilvl w:val="0"/>
          <w:numId w:val="2"/>
        </w:numPr>
        <w:spacing w:after="60"/>
      </w:pPr>
      <w:r>
        <w:t xml:space="preserve">La nota de la app (4.5 de 5) y el uso semanal (40 %) también quedan en el tema #19.</w:t>
      </w:r>
    </w:p>
    <w:p>
      <w:pPr>
        <w:pStyle w:val="Heading1"/>
      </w:pPr>
      <w:r>
        <w:t xml:space="preserve">4. Cómo se conectan con la estructura del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Paso del plan (clase sesión 09)</w:t>
            </w:r>
          </w:p>
        </w:tc>
        <w:tc>
          <w:tcPr>
            <w:tcW w:type="dxa" w:w="4680"/>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Dónde se ve</w:t>
            </w:r>
          </w:p>
        </w:tc>
      </w:tr>
      <w:tr>
        <w:trPr>
          <w:tblHeader w:val="false"/>
        </w:trPr>
        <w:tc>
          <w:tcPr>
            <w:tcW w:type="dxa" w:w="4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1. Análisis situacional (PESTEL, qué le importa al cliente, benchmark, FODA)</w:t>
            </w:r>
          </w:p>
        </w:tc>
        <w:tc>
          <w:tcPr>
            <w:tcW w:type="dxa" w:w="4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PESTEL de Angie, tema #8 y documento 04 disponibles. FODA (#4) pendiente</w:t>
            </w:r>
          </w:p>
        </w:tc>
      </w:tr>
      <w:tr>
        <w:trPr>
          <w:tblHeader w:val="false"/>
        </w:trPr>
        <w:tc>
          <w:tcPr>
            <w:tcW w:type="dxa" w:w="46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 Objetivos SMART</w:t>
            </w:r>
          </w:p>
        </w:tc>
        <w:tc>
          <w:tcPr>
            <w:tcW w:type="dxa" w:w="46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Este tema</w:t>
            </w:r>
          </w:p>
        </w:tc>
      </w:tr>
      <w:tr>
        <w:trPr>
          <w:tblHeader w:val="false"/>
        </w:trPr>
        <w:tc>
          <w:tcPr>
            <w:tcW w:type="dxa" w:w="4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3. Segmentación y posicionamiento</w:t>
            </w:r>
          </w:p>
        </w:tc>
        <w:tc>
          <w:tcPr>
            <w:tcW w:type="dxa" w:w="4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Padres A y B (Claudia y Rodrigo), mensaje central "Hierro medido. Sabor a brownie."</w:t>
            </w:r>
          </w:p>
        </w:tc>
      </w:tr>
      <w:tr>
        <w:trPr>
          <w:tblHeader w:val="false"/>
        </w:trPr>
        <w:tc>
          <w:tcPr>
            <w:tcW w:type="dxa" w:w="46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 Tácticas</w:t>
            </w:r>
          </w:p>
        </w:tc>
        <w:tc>
          <w:tcPr>
            <w:tcW w:type="dxa" w:w="46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4P del documento 10 y 7P (tema #16)</w:t>
            </w:r>
          </w:p>
        </w:tc>
      </w:tr>
      <w:tr>
        <w:trPr>
          <w:tblHeader w:val="false"/>
        </w:trPr>
        <w:tc>
          <w:tcPr>
            <w:tcW w:type="dxa" w:w="4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5. Presupuesto</w:t>
            </w:r>
          </w:p>
        </w:tc>
        <w:tc>
          <w:tcPr>
            <w:tcW w:type="dxa" w:w="4680"/>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S/24,544 (tema #17)</w:t>
            </w:r>
          </w:p>
        </w:tc>
      </w:tr>
      <w:tr>
        <w:trPr>
          <w:tblHeader w:val="false"/>
        </w:trPr>
        <w:tc>
          <w:tcPr>
            <w:tcW w:type="dxa" w:w="46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6. Control</w:t>
            </w:r>
          </w:p>
        </w:tc>
        <w:tc>
          <w:tcPr>
            <w:tcW w:type="dxa" w:w="4680"/>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Tema #19: cómo y cada cuánto se miden estos KPI</w:t>
            </w:r>
          </w:p>
        </w:tc>
      </w:tr>
    </w:tbl>
    <w:p>
      <w:pPr>
        <w:spacing w:after="80"/>
      </w:pPr>
    </w:p>
    <w:p>
      <w:pPr>
        <w:pStyle w:val="Heading1"/>
      </w:pPr>
      <w:r>
        <w:t xml:space="preserve">Fuentes</w:t>
      </w:r>
    </w:p>
    <w:p>
      <w:pPr>
        <w:pStyle w:val="ListParagraph"/>
        <w:numPr>
          <w:ilvl w:val="0"/>
          <w:numId w:val="3"/>
        </w:numPr>
        <w:spacing w:after="60"/>
      </w:pPr>
      <w:r>
        <w:t xml:space="preserve">AndiBite. </w:t>
      </w:r>
      <w:r>
        <w:rPr>
          <w:rFonts w:ascii="Consolas" w:cs="Consolas" w:eastAsia="Consolas" w:hAnsi="Consolas"/>
          <w:color w:val="4A2018"/>
          <w:sz w:val="19"/>
          <w:szCs w:val="19"/>
        </w:rPr>
        <w:t xml:space="preserve">04-reformulacion/10-plan-de-marketing-2027.md</w:t>
      </w:r>
      <w:r>
        <w:t xml:space="preserve">, secciones 2, 6.3, 6.4 y 8 (objetivos SMART, metas y KPI).</w:t>
      </w:r>
    </w:p>
    <w:p>
      <w:pPr>
        <w:pStyle w:val="ListParagraph"/>
        <w:numPr>
          <w:ilvl w:val="0"/>
          <w:numId w:val="3"/>
        </w:numPr>
        <w:spacing w:after="60"/>
      </w:pPr>
      <w:r>
        <w:t xml:space="preserve">AndiBite. </w:t>
      </w:r>
      <w:r>
        <w:rPr>
          <w:rFonts w:ascii="Consolas" w:cs="Consolas" w:eastAsia="Consolas" w:hAnsi="Consolas"/>
          <w:color w:val="4A2018"/>
          <w:sz w:val="19"/>
          <w:szCs w:val="19"/>
        </w:rPr>
        <w:t xml:space="preserve">04-reformulacion/Costeo-presentaciones-AndiBite.xlsx</w:t>
      </w:r>
      <w:r>
        <w:t xml:space="preserve">, modelo v7, hojas Resumen, Mensual y Supuestos.</w:t>
      </w:r>
    </w:p>
    <w:p>
      <w:pPr>
        <w:pStyle w:val="ListParagraph"/>
        <w:numPr>
          <w:ilvl w:val="0"/>
          <w:numId w:val="3"/>
        </w:numPr>
        <w:spacing w:after="60"/>
      </w:pPr>
      <w:r>
        <w:t xml:space="preserve">AndiBite. </w:t>
      </w:r>
      <w:r>
        <w:rPr>
          <w:rFonts w:ascii="Consolas" w:cs="Consolas" w:eastAsia="Consolas" w:hAnsi="Consolas"/>
          <w:color w:val="4A2018"/>
          <w:sz w:val="19"/>
          <w:szCs w:val="19"/>
        </w:rPr>
        <w:t xml:space="preserve">04-reformulacion/T2/HECHOS_v7.md</w:t>
      </w:r>
      <w:r>
        <w:t xml:space="preserve"> (objetivos del año y reglas para crecer).</w:t>
      </w:r>
    </w:p>
    <w:p>
      <w:pPr>
        <w:pStyle w:val="ListParagraph"/>
        <w:numPr>
          <w:ilvl w:val="0"/>
          <w:numId w:val="3"/>
        </w:numPr>
        <w:spacing w:after="60"/>
      </w:pPr>
      <w:r>
        <w:t xml:space="preserve">AndiBite. </w:t>
      </w:r>
      <w:r>
        <w:rPr>
          <w:rFonts w:ascii="Consolas" w:cs="Consolas" w:eastAsia="Consolas" w:hAnsi="Consolas"/>
          <w:color w:val="4A2018"/>
          <w:sz w:val="19"/>
          <w:szCs w:val="19"/>
        </w:rPr>
        <w:t xml:space="preserve">04-reformulacion/T2/CLASE-sesion09.md</w:t>
      </w:r>
      <w:r>
        <w:t xml:space="preserve"> (estructura del plan y ejemplo de objetivo SMART de la clase).</w:t>
      </w:r>
    </w:p>
    <w:p>
      <w:pPr>
        <w:pStyle w:val="ListParagraph"/>
        <w:numPr>
          <w:ilvl w:val="0"/>
          <w:numId w:val="3"/>
        </w:numPr>
        <w:spacing w:after="60"/>
      </w:pPr>
      <w:r>
        <w:t xml:space="preserve">AndiBite. </w:t>
      </w:r>
      <w:r>
        <w:rPr>
          <w:rFonts w:ascii="Consolas" w:cs="Consolas" w:eastAsia="Consolas" w:hAnsi="Consolas"/>
          <w:color w:val="4A2018"/>
          <w:sz w:val="19"/>
          <w:szCs w:val="19"/>
        </w:rPr>
        <w:t xml:space="preserve">04-reformulacion/09-app-andi-mision-hierro.md</w:t>
      </w:r>
      <w:r>
        <w:t xml:space="preserve"> (meta de escaneos de la app).</w:t>
      </w:r>
    </w:p>
    <w:p>
      <w:pPr>
        <w:pStyle w:val="ListParagraph"/>
        <w:numPr>
          <w:ilvl w:val="0"/>
          <w:numId w:val="3"/>
        </w:numPr>
        <w:spacing w:after="60"/>
      </w:pPr>
      <w:r>
        <w:t xml:space="preserve">Kantar. "11 marcas representan el 90 % del consumo de snacks dentro de los hogares peruanos" (06/11/2025). https://www.kantar.com/latin-america/inspiracion/consumo-masivo/2025/tendencias-de-consumo-de-snacks-en-peru</w:t>
      </w:r>
    </w:p>
    <w:p>
      <w:pPr>
        <w:pStyle w:val="ListParagraph"/>
        <w:numPr>
          <w:ilvl w:val="0"/>
          <w:numId w:val="3"/>
        </w:numPr>
        <w:spacing w:after="60"/>
      </w:pPr>
      <w:r>
        <w:t xml:space="preserve">Kantar. "Un 39 % de hogares peruanos considera que los retailers influyen en sus compras saludables" (15/05/2025). https://www.kantar.com/latin-america/inspiracion/consumidor/2025/consumo-saludable-peru-tendencia</w:t>
      </w:r>
    </w:p>
    <w:p>
      <w:pPr>
        <w:pStyle w:val="ListParagraph"/>
        <w:numPr>
          <w:ilvl w:val="0"/>
          <w:numId w:val="3"/>
        </w:numPr>
        <w:spacing w:after="60"/>
      </w:pPr>
      <w:r>
        <w:t xml:space="preserve">Ipsos Perú. "83 % considera que los octógonos tienen impacto en sus compras" (21/02/2025). https://www.ipsos.com/es-pe/83-considera-que-los-octogonos-tienen-impacto-en-sus-compras</w:t>
      </w:r>
    </w:p>
    <w:p>
      <w:pPr>
        <w:pStyle w:val="ListParagraph"/>
        <w:numPr>
          <w:ilvl w:val="0"/>
          <w:numId w:val="3"/>
        </w:numPr>
        <w:spacing w:after="60"/>
      </w:pPr>
      <w:r>
        <w:t xml:space="preserve">Naciones Unidas. Objetivos de Desarrollo Sostenible, ODS 2 (meta 2.2), ODS 3 y ODS 8. https://sdgs.un.org/es/goals</w:t>
      </w:r>
    </w:p>
    <w:p>
      <w:pPr>
        <w:pStyle w:val="ListParagraph"/>
        <w:numPr>
          <w:ilvl w:val="0"/>
          <w:numId w:val="3"/>
        </w:numPr>
        <w:spacing w:after="60"/>
      </w:pPr>
      <w:r>
        <w:t xml:space="preserve">Ley 29733, Ley de Protección de Datos Personales (citada en HECHOS_v7 y en el documento 09). El enlace oficial está [POR CONFIRMAR].</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3A2A"/>
        <w:sz w:val="16"/>
        <w:szCs w:val="16"/>
      </w:rPr>
      <w:t xml:space="preserve">AndiBite · Grupo 2 · T2 Plan de marketing · </w:t>
    </w:r>
    <w:r>
      <w:rPr>
        <w:color w:val="6B3A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1A14"/>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BA4036"/>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4A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bc85121a884bb946cbd474e69e22b29ddd628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 · #07 Tres objetivos SMART y KPI</dc:title>
  <dc:creator>Grupo 2</dc:creator>
  <cp:lastModifiedBy>Un-named</cp:lastModifiedBy>
  <cp:revision>1</cp:revision>
  <dcterms:created xsi:type="dcterms:W3CDTF">2026-10-19T01:28:17.067Z</dcterms:created>
  <dcterms:modified xsi:type="dcterms:W3CDTF">2026-10-19T01:28:17.067Z</dcterms:modified>
</cp:coreProperties>
</file>

<file path=docProps/custom.xml><?xml version="1.0" encoding="utf-8"?>
<Properties xmlns="http://schemas.openxmlformats.org/officeDocument/2006/custom-properties" xmlns:vt="http://schemas.openxmlformats.org/officeDocument/2006/docPropsVTypes"/>
</file>