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60" w:before="0" w:line="240" w:lineRule="auto"/>
      </w:pPr>
      <w:r>
        <w:drawing>
          <wp:inline distT="0" distB="0" distL="0" distR="0">
            <wp:extent cx="1428750" cy="4857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28750" cy="485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Title"/>
        <w:spacing w:after="80"/>
      </w:pPr>
      <w:r>
        <w:rPr>
          <w:rFonts w:ascii="Calibri" w:cs="Calibri" w:eastAsia="Calibri" w:hAnsi="Calibri"/>
          <w:b/>
          <w:bCs/>
          <w:color w:val="4A2018"/>
          <w:sz w:val="40"/>
          <w:szCs w:val="40"/>
        </w:rPr>
        <w:t xml:space="preserve">T2 · #00 Informe de avance y correcciones</w:t>
      </w:r>
    </w:p>
    <w:p>
      <w:pPr>
        <w:pBdr>
          <w:bottom w:val="single" w:color="BA4036" w:sz="8" w:space="6"/>
        </w:pBdr>
        <w:spacing w:after="120"/>
      </w:pPr>
      <w:r>
        <w:rPr>
          <w:i/>
          <w:iCs/>
          <w:color w:val="6B3A2A"/>
          <w:sz w:val="20"/>
          <w:szCs w:val="20"/>
        </w:rPr>
        <w:t xml:space="preserve">Responsable: revisión del grupo · Grupo 2 · AndiBite</w:t>
      </w:r>
    </w:p>
    <w:p>
      <w:pPr>
        <w:spacing w:after="120"/>
      </w:pPr>
      <w:r>
        <w:t xml:space="preserve">Fecha de corte: 19 de octubre de 2026. Este informe revisa lo que hay en la carpeta de Drive del grupo, verifica los datos con fuentes oficiales y propone correcciones amables, alineadas a </w:t>
      </w:r>
      <w:r>
        <w:rPr>
          <w:rFonts w:ascii="Consolas" w:cs="Consolas" w:eastAsia="Consolas" w:hAnsi="Consolas"/>
          <w:color w:val="4A2018"/>
          <w:sz w:val="19"/>
          <w:szCs w:val="19"/>
        </w:rPr>
        <w:t xml:space="preserve">HECHOS_v7.md</w:t>
      </w:r>
      <w:r>
        <w:t xml:space="preserve"> y a </w:t>
      </w:r>
      <w:r>
        <w:rPr>
          <w:rFonts w:ascii="Consolas" w:cs="Consolas" w:eastAsia="Consolas" w:hAnsi="Consolas"/>
          <w:color w:val="4A2018"/>
          <w:sz w:val="19"/>
          <w:szCs w:val="19"/>
        </w:rPr>
        <w:t xml:space="preserve">CLASE-sesion09.md</w:t>
      </w:r>
      <w:r>
        <w:t xml:space="preserve">. Todo lo marcado como [PROPUESTA] es una idea para que el grupo decida. Todo lo marcado como [POR CONFIRMAR] no se pudo verificar.</w:t>
      </w:r>
    </w:p>
    <w:p>
      <w:pPr>
        <w:spacing w:after="120"/>
      </w:pPr>
      <w:r>
        <w:rPr>
          <w:b/>
          <w:bCs/>
        </w:rPr>
        <w:t xml:space="preserve">Siglas.</w:t>
      </w:r>
      <w:r>
        <w:t xml:space="preserve"> PESTEL: análisis del entorno político, económico, social, tecnológico, ambiental y legal. FODA: fortalezas, oportunidades, debilidades y amenazas. ODS: Objetivos de Desarrollo Sostenible de la ONU. INEI: Instituto Nacional de Estadística e Informática. ENDES: Encuesta Demográfica y de Salud Familiar, del INEI. ENAHO: Encuesta Nacional de Hogares. OMS: Organización Mundial de la Salud. MINSA: Ministerio de Salud. BCRP: Banco Central de Reserva del Perú. APEIM: Asociación Peruana de Empresas de Inteligencia de Mercados. DIGESA: Dirección General de Salud Ambiental. INDECOPI: Instituto Nacional de Defensa de la Competencia y de la Protección de la Propiedad Intelectual. REMYPE: registro de la micro y pequeña empresa. UIT: unidad impositiva tributaria. IGV: impuesto general a las ventas. D.S.: decreto supremo. RM: resolución ministerial. T1: primer trabajo del curso. QR: código que se lee con la cámara del celular. IA: inteligencia artificial. FAO: Organización de las Naciones Unidas para la Alimentación y la Agricultura. INACAL: Instituto Nacional de Calidad. UNALM: Universidad Nacional Agraria La Molina. SBS: Superintendencia de Banca, Seguros y AFP. TEA: tasa efectiva anual. D. Leg.: decreto legislativo. POP: material en el punto de venta.</w:t>
      </w:r>
    </w:p>
    <w:p>
      <w:pPr>
        <w:pStyle w:val="Heading1"/>
      </w:pPr>
      <w:r>
        <w:t xml:space="preserve">Resumen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En Drive solo hay un trabajo para revisar: el PESTEL (#3) de Angie. Está bien armado: cubre las 6 dimensiones, tiene 19 variables y cada una tiene su evaluación.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Los dos datos con número son correctos. La inflación de 4.28 % es </w:t>
      </w:r>
      <w:r>
        <w:rPr>
          <w:b/>
          <w:bCs/>
        </w:rPr>
        <w:t xml:space="preserve">acumulada de enero a setiembre de 2026</w:t>
      </w:r>
      <w:r>
        <w:t xml:space="preserve">, no de los últimos 12 meses (esa fue de unos 4.5 %). El 82.7 % de hogares limeños con internet es del primer trimestre de 2026 y es correcto.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Lo que le falta al PESTEL es respaldo: 17 de 19 variables no tienen ningún dato. En este informe hay un dato con fuente para cada una.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Hay cuatro choques con HECHOS_v7 que conviene corregir: la cañihua en todos los sabores, la venta digital como si fuera el canal principal, el octógono como amenaza segura y el apoyo escolar como oportunidad sin condición.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Diana entregó el benchmark (#2), el FODA (#4) y el FODA cruzado (#4) en capturas de AI Studio (sección 6). La estructura es buena y completa, pero la IA inventó varios datos: el precio de AndiBite (S/10.00 por pack, cuando es S/27.90 en stand y S/26.90 por WhatsApp), 14 mg de hierro por porción y un competidor con formato y precio que no existen como se describen (Forticao en "barra de 40 g a S/30.50"). Las versiones corregidas están en </w:t>
      </w:r>
      <w:r>
        <w:rPr>
          <w:rFonts w:ascii="Consolas" w:cs="Consolas" w:eastAsia="Consolas" w:hAnsi="Consolas"/>
          <w:color w:val="4A2018"/>
          <w:sz w:val="19"/>
          <w:szCs w:val="19"/>
        </w:rPr>
        <w:t xml:space="preserve">T2_02_Benchmark.md</w:t>
      </w:r>
      <w:r>
        <w:t xml:space="preserve"> y </w:t>
      </w:r>
      <w:r>
        <w:rPr>
          <w:rFonts w:ascii="Consolas" w:cs="Consolas" w:eastAsia="Consolas" w:hAnsi="Consolas"/>
          <w:color w:val="4A2018"/>
          <w:sz w:val="19"/>
          <w:szCs w:val="19"/>
        </w:rPr>
        <w:t xml:space="preserve">T2_04_FODA-y-FODA-cruzado.md</w:t>
      </w:r>
      <w:r>
        <w:t xml:space="preserve">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Hay un punto que el PESTEL no nombra: la meta "sin octógono" depende de la receta reformulada. Con eritritol, la T1 calcula de 4.6 a 7.1 g de azúcar por 100 g, bajo el límite de 10 g por 100 g de los sólidos. Hay que confirmarlo en laboratorio [POR CONFIRMAR]. El cálculo viejo de unos 14 g del documento 03 ya no se usa (HECHOS_v7).</w:t>
      </w:r>
    </w:p>
    <w:p>
      <w:pPr>
        <w:pStyle w:val="Heading1"/>
      </w:pPr>
      <w:r>
        <w:t xml:space="preserve">1. Estado de la carpeta del Drive al 19-oct-2026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`AndiBite_PESTEL.docx`:</w:t>
      </w:r>
      <w:r>
        <w:t xml:space="preserve"> es el punto #3, de Angie. Se revisa en este informe. Es lo único entregado en la carpeta.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Enlace de AI Studio dentro del mismo documento:</w:t>
      </w:r>
      <w:r>
        <w:t xml:space="preserve"> Diana dejó el enlace del benchmark, el FODA y el FODA cruzado (puntos #2 y #4). El enlace no se puede leer desde fuera, así que Diana pegó 4 capturas: 2 del benchmark y 2 del FODA. Además, Carlos envió el 19-oct-2026 2 capturas del FODA cruzado (FO1 a FO4, DO1 a DO4, FA1 a FA4 y DA1 a DA3), transcritas en </w:t>
      </w:r>
      <w:r>
        <w:rPr>
          <w:rFonts w:ascii="Consolas" w:cs="Consolas" w:eastAsia="Consolas" w:hAnsi="Consolas"/>
          <w:color w:val="4A2018"/>
          <w:sz w:val="19"/>
          <w:szCs w:val="19"/>
        </w:rPr>
        <w:t xml:space="preserve">04-reformulacion/T2/img/diana/foda_cruzado_transcripcion.md</w:t>
      </w:r>
      <w:r>
        <w:t xml:space="preserve">. Todo se revisa en la sección 6. En el texto del documento de Drive, el título "FODA CRUZADO" sigue vacío: falta pegar esas capturas o su texto.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`PPT Sesión 09 - docente`:</w:t>
      </w:r>
      <w:r>
        <w:t xml:space="preserve"> es material de clase. No es un entregable del grupo.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Lo que dice la clase que falta en el Drive:</w:t>
      </w:r>
      <w:r>
        <w:t xml:space="preserve"> el caso NutriSmart (#20) y la explicación del "5-3-2 AIDA" (#14).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Limpieza del documento:</w:t>
      </w:r>
      <w:r>
        <w:t xml:space="preserve"> al final del PESTEL quedó la nota "DIANA: benchmark - minimo 3 competidores. LINK COMPLETO..." Conviene sacarla del PESTEL cuando Diana pegue las imágenes, para que el documento final no tenga notas internas.</w:t>
      </w:r>
    </w:p>
    <w:p>
      <w:pPr>
        <w:pStyle w:val="Heading1"/>
      </w:pPr>
      <w:r>
        <w:t xml:space="preserve">2. Los 22 puntos del T2 y su estado</w:t>
      </w:r>
    </w:p>
    <w:p>
      <w:pPr>
        <w:spacing w:after="120"/>
      </w:pPr>
      <w:r>
        <w:t xml:space="preserve">Los títulos son los de la lista oficial del grupo. El responsable es el del reparto. Estado actualizado al cierre del 19-oct-2026 (día de la entrega).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97"/>
        <w:gridCol w:w="3636"/>
        <w:gridCol w:w="1091"/>
        <w:gridCol w:w="3636"/>
      </w:tblGrid>
      <w:tr>
        <w:trPr>
          <w:tblHeader/>
        </w:trPr>
        <w:tc>
          <w:tcPr>
            <w:tcW w:type="dxa" w:w="997"/>
            <w:tcBorders>
              <w:top w:val="single" w:color="D9C3A8" w:sz="4"/>
              <w:left w:val="single" w:color="D9C3A8" w:sz="4"/>
              <w:bottom w:val="single" w:color="D9C3A8" w:sz="4"/>
              <w:right w:val="single" w:color="D9C3A8" w:sz="4"/>
            </w:tcBorders>
            <w:shd w:fill="4A2018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#</w:t>
            </w:r>
          </w:p>
        </w:tc>
        <w:tc>
          <w:tcPr>
            <w:tcW w:type="dxa" w:w="3636"/>
            <w:tcBorders>
              <w:top w:val="single" w:color="D9C3A8" w:sz="4"/>
              <w:left w:val="single" w:color="D9C3A8" w:sz="4"/>
              <w:bottom w:val="single" w:color="D9C3A8" w:sz="4"/>
              <w:right w:val="single" w:color="D9C3A8" w:sz="4"/>
            </w:tcBorders>
            <w:shd w:fill="4A2018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Punto</w:t>
            </w:r>
          </w:p>
        </w:tc>
        <w:tc>
          <w:tcPr>
            <w:tcW w:type="dxa" w:w="1091"/>
            <w:tcBorders>
              <w:top w:val="single" w:color="D9C3A8" w:sz="4"/>
              <w:left w:val="single" w:color="D9C3A8" w:sz="4"/>
              <w:bottom w:val="single" w:color="D9C3A8" w:sz="4"/>
              <w:right w:val="single" w:color="D9C3A8" w:sz="4"/>
            </w:tcBorders>
            <w:shd w:fill="4A2018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Responsable</w:t>
            </w:r>
          </w:p>
        </w:tc>
        <w:tc>
          <w:tcPr>
            <w:tcW w:type="dxa" w:w="3636"/>
            <w:tcBorders>
              <w:top w:val="single" w:color="D9C3A8" w:sz="4"/>
              <w:left w:val="single" w:color="D9C3A8" w:sz="4"/>
              <w:bottom w:val="single" w:color="D9C3A8" w:sz="4"/>
              <w:right w:val="single" w:color="D9C3A8" w:sz="4"/>
            </w:tcBorders>
            <w:shd w:fill="4A2018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Estado al 19-oct-2026</w:t>
            </w:r>
          </w:p>
        </w:tc>
      </w:tr>
      <w:tr>
        <w:trPr>
          <w:tblHeader w:val="false"/>
        </w:trPr>
        <w:tc>
          <w:tcPr>
            <w:tcW w:type="dxa" w:w="997"/>
            <w:tcBorders>
              <w:top w:val="single" w:color="D9C3A8" w:sz="4"/>
              <w:left w:val="single" w:color="D9C3A8" w:sz="4"/>
              <w:bottom w:val="single" w:color="D9C3A8" w:sz="4"/>
              <w:right w:val="single" w:color="D9C3A8" w:sz="4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19"/>
                <w:szCs w:val="19"/>
              </w:rPr>
              <w:t xml:space="preserve">0</w:t>
            </w:r>
          </w:p>
        </w:tc>
        <w:tc>
          <w:tcPr>
            <w:tcW w:type="dxa" w:w="3636"/>
            <w:tcBorders>
              <w:top w:val="single" w:color="D9C3A8" w:sz="4"/>
              <w:left w:val="single" w:color="D9C3A8" w:sz="4"/>
              <w:bottom w:val="single" w:color="D9C3A8" w:sz="4"/>
              <w:right w:val="single" w:color="D9C3A8" w:sz="4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19"/>
                <w:szCs w:val="19"/>
              </w:rPr>
              <w:t xml:space="preserve">Informe de avance y correcciones (este documento)</w:t>
            </w:r>
          </w:p>
        </w:tc>
        <w:tc>
          <w:tcPr>
            <w:tcW w:type="dxa" w:w="1091"/>
            <w:tcBorders>
              <w:top w:val="single" w:color="D9C3A8" w:sz="4"/>
              <w:left w:val="single" w:color="D9C3A8" w:sz="4"/>
              <w:bottom w:val="single" w:color="D9C3A8" w:sz="4"/>
              <w:right w:val="single" w:color="D9C3A8" w:sz="4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19"/>
                <w:szCs w:val="19"/>
              </w:rPr>
              <w:t xml:space="preserve">Revisión del grupo</w:t>
            </w:r>
          </w:p>
        </w:tc>
        <w:tc>
          <w:tcPr>
            <w:tcW w:type="dxa" w:w="3636"/>
            <w:tcBorders>
              <w:top w:val="single" w:color="D9C3A8" w:sz="4"/>
              <w:left w:val="single" w:color="D9C3A8" w:sz="4"/>
              <w:bottom w:val="single" w:color="D9C3A8" w:sz="4"/>
              <w:right w:val="single" w:color="D9C3A8" w:sz="4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19"/>
                <w:szCs w:val="19"/>
              </w:rPr>
              <w:t xml:space="preserve">Hecho</w:t>
            </w:r>
          </w:p>
        </w:tc>
      </w:tr>
      <w:tr>
        <w:trPr>
          <w:tblHeader w:val="false"/>
        </w:trPr>
        <w:tc>
          <w:tcPr>
            <w:tcW w:type="dxa" w:w="997"/>
            <w:tcBorders>
              <w:top w:val="single" w:color="D9C3A8" w:sz="4"/>
              <w:left w:val="single" w:color="D9C3A8" w:sz="4"/>
              <w:bottom w:val="single" w:color="D9C3A8" w:sz="4"/>
              <w:right w:val="single" w:color="D9C3A8" w:sz="4"/>
            </w:tcBorders>
            <w:shd w:fill="F7ECD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19"/>
                <w:szCs w:val="19"/>
              </w:rPr>
              <w:t xml:space="preserve">1</w:t>
            </w:r>
          </w:p>
        </w:tc>
        <w:tc>
          <w:tcPr>
            <w:tcW w:type="dxa" w:w="3636"/>
            <w:tcBorders>
              <w:top w:val="single" w:color="D9C3A8" w:sz="4"/>
              <w:left w:val="single" w:color="D9C3A8" w:sz="4"/>
              <w:bottom w:val="single" w:color="D9C3A8" w:sz="4"/>
              <w:right w:val="single" w:color="D9C3A8" w:sz="4"/>
            </w:tcBorders>
            <w:shd w:fill="F7ECD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19"/>
                <w:szCs w:val="19"/>
              </w:rPr>
              <w:t xml:space="preserve">Recap del Canvas T1</w:t>
            </w:r>
          </w:p>
        </w:tc>
        <w:tc>
          <w:tcPr>
            <w:tcW w:type="dxa" w:w="1091"/>
            <w:tcBorders>
              <w:top w:val="single" w:color="D9C3A8" w:sz="4"/>
              <w:left w:val="single" w:color="D9C3A8" w:sz="4"/>
              <w:bottom w:val="single" w:color="D9C3A8" w:sz="4"/>
              <w:right w:val="single" w:color="D9C3A8" w:sz="4"/>
            </w:tcBorders>
            <w:shd w:fill="F7ECD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19"/>
                <w:szCs w:val="19"/>
              </w:rPr>
              <w:t xml:space="preserve">Diana</w:t>
            </w:r>
          </w:p>
        </w:tc>
        <w:tc>
          <w:tcPr>
            <w:tcW w:type="dxa" w:w="3636"/>
            <w:tcBorders>
              <w:top w:val="single" w:color="D9C3A8" w:sz="4"/>
              <w:left w:val="single" w:color="D9C3A8" w:sz="4"/>
              <w:bottom w:val="single" w:color="D9C3A8" w:sz="4"/>
              <w:right w:val="single" w:color="D9C3A8" w:sz="4"/>
            </w:tcBorders>
            <w:shd w:fill="F7ECD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19"/>
                <w:szCs w:val="19"/>
              </w:rPr>
              <w:t xml:space="preserve">Hecho</w:t>
            </w:r>
          </w:p>
        </w:tc>
      </w:tr>
      <w:tr>
        <w:trPr>
          <w:tblHeader w:val="false"/>
        </w:trPr>
        <w:tc>
          <w:tcPr>
            <w:tcW w:type="dxa" w:w="997"/>
            <w:tcBorders>
              <w:top w:val="single" w:color="D9C3A8" w:sz="4"/>
              <w:left w:val="single" w:color="D9C3A8" w:sz="4"/>
              <w:bottom w:val="single" w:color="D9C3A8" w:sz="4"/>
              <w:right w:val="single" w:color="D9C3A8" w:sz="4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19"/>
                <w:szCs w:val="19"/>
              </w:rPr>
              <w:t xml:space="preserve">2</w:t>
            </w:r>
          </w:p>
        </w:tc>
        <w:tc>
          <w:tcPr>
            <w:tcW w:type="dxa" w:w="3636"/>
            <w:tcBorders>
              <w:top w:val="single" w:color="D9C3A8" w:sz="4"/>
              <w:left w:val="single" w:color="D9C3A8" w:sz="4"/>
              <w:bottom w:val="single" w:color="D9C3A8" w:sz="4"/>
              <w:right w:val="single" w:color="D9C3A8" w:sz="4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19"/>
                <w:szCs w:val="19"/>
              </w:rPr>
              <w:t xml:space="preserve">Benchmark (mínimo 3 competidores)</w:t>
            </w:r>
          </w:p>
        </w:tc>
        <w:tc>
          <w:tcPr>
            <w:tcW w:type="dxa" w:w="1091"/>
            <w:tcBorders>
              <w:top w:val="single" w:color="D9C3A8" w:sz="4"/>
              <w:left w:val="single" w:color="D9C3A8" w:sz="4"/>
              <w:bottom w:val="single" w:color="D9C3A8" w:sz="4"/>
              <w:right w:val="single" w:color="D9C3A8" w:sz="4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19"/>
                <w:szCs w:val="19"/>
              </w:rPr>
              <w:t xml:space="preserve">Diana</w:t>
            </w:r>
          </w:p>
        </w:tc>
        <w:tc>
          <w:tcPr>
            <w:tcW w:type="dxa" w:w="3636"/>
            <w:tcBorders>
              <w:top w:val="single" w:color="D9C3A8" w:sz="4"/>
              <w:left w:val="single" w:color="D9C3A8" w:sz="4"/>
              <w:bottom w:val="single" w:color="D9C3A8" w:sz="4"/>
              <w:right w:val="single" w:color="D9C3A8" w:sz="4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19"/>
                <w:szCs w:val="19"/>
              </w:rPr>
              <w:t xml:space="preserve">Hecho (propuesta para revisar): </w:t>
            </w:r>
            <w:r>
              <w:rPr>
                <w:rFonts w:ascii="Consolas" w:cs="Consolas" w:eastAsia="Consolas" w:hAnsi="Consolas"/>
                <w:color w:val="4A2018"/>
                <w:sz w:val="19"/>
                <w:szCs w:val="19"/>
              </w:rPr>
              <w:t xml:space="preserve">T2_02_Benchmark.md</w:t>
            </w:r>
            <w:r>
              <w:rPr>
                <w:sz w:val="19"/>
                <w:szCs w:val="19"/>
              </w:rPr>
              <w:t xml:space="preserve">, corregido a partir de la sección 6 de este informe</w:t>
            </w:r>
          </w:p>
        </w:tc>
      </w:tr>
      <w:tr>
        <w:trPr>
          <w:tblHeader w:val="false"/>
        </w:trPr>
        <w:tc>
          <w:tcPr>
            <w:tcW w:type="dxa" w:w="997"/>
            <w:tcBorders>
              <w:top w:val="single" w:color="D9C3A8" w:sz="4"/>
              <w:left w:val="single" w:color="D9C3A8" w:sz="4"/>
              <w:bottom w:val="single" w:color="D9C3A8" w:sz="4"/>
              <w:right w:val="single" w:color="D9C3A8" w:sz="4"/>
            </w:tcBorders>
            <w:shd w:fill="F7ECD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19"/>
                <w:szCs w:val="19"/>
              </w:rPr>
              <w:t xml:space="preserve">3</w:t>
            </w:r>
          </w:p>
        </w:tc>
        <w:tc>
          <w:tcPr>
            <w:tcW w:type="dxa" w:w="3636"/>
            <w:tcBorders>
              <w:top w:val="single" w:color="D9C3A8" w:sz="4"/>
              <w:left w:val="single" w:color="D9C3A8" w:sz="4"/>
              <w:bottom w:val="single" w:color="D9C3A8" w:sz="4"/>
              <w:right w:val="single" w:color="D9C3A8" w:sz="4"/>
            </w:tcBorders>
            <w:shd w:fill="F7ECD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19"/>
                <w:szCs w:val="19"/>
              </w:rPr>
              <w:t xml:space="preserve">PESTEL</w:t>
            </w:r>
          </w:p>
        </w:tc>
        <w:tc>
          <w:tcPr>
            <w:tcW w:type="dxa" w:w="1091"/>
            <w:tcBorders>
              <w:top w:val="single" w:color="D9C3A8" w:sz="4"/>
              <w:left w:val="single" w:color="D9C3A8" w:sz="4"/>
              <w:bottom w:val="single" w:color="D9C3A8" w:sz="4"/>
              <w:right w:val="single" w:color="D9C3A8" w:sz="4"/>
            </w:tcBorders>
            <w:shd w:fill="F7ECD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19"/>
                <w:szCs w:val="19"/>
              </w:rPr>
              <w:t xml:space="preserve">Angie</w:t>
            </w:r>
          </w:p>
        </w:tc>
        <w:tc>
          <w:tcPr>
            <w:tcW w:type="dxa" w:w="3636"/>
            <w:tcBorders>
              <w:top w:val="single" w:color="D9C3A8" w:sz="4"/>
              <w:left w:val="single" w:color="D9C3A8" w:sz="4"/>
              <w:bottom w:val="single" w:color="D9C3A8" w:sz="4"/>
              <w:right w:val="single" w:color="D9C3A8" w:sz="4"/>
            </w:tcBorders>
            <w:shd w:fill="F7ECD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19"/>
                <w:szCs w:val="19"/>
              </w:rPr>
              <w:t xml:space="preserve">En el Drive del grupo (documento de Angie), revisado en la sección 3 de este informe</w:t>
            </w:r>
          </w:p>
        </w:tc>
      </w:tr>
      <w:tr>
        <w:trPr>
          <w:tblHeader w:val="false"/>
        </w:trPr>
        <w:tc>
          <w:tcPr>
            <w:tcW w:type="dxa" w:w="997"/>
            <w:tcBorders>
              <w:top w:val="single" w:color="D9C3A8" w:sz="4"/>
              <w:left w:val="single" w:color="D9C3A8" w:sz="4"/>
              <w:bottom w:val="single" w:color="D9C3A8" w:sz="4"/>
              <w:right w:val="single" w:color="D9C3A8" w:sz="4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19"/>
                <w:szCs w:val="19"/>
              </w:rPr>
              <w:t xml:space="preserve">4</w:t>
            </w:r>
          </w:p>
        </w:tc>
        <w:tc>
          <w:tcPr>
            <w:tcW w:type="dxa" w:w="3636"/>
            <w:tcBorders>
              <w:top w:val="single" w:color="D9C3A8" w:sz="4"/>
              <w:left w:val="single" w:color="D9C3A8" w:sz="4"/>
              <w:bottom w:val="single" w:color="D9C3A8" w:sz="4"/>
              <w:right w:val="single" w:color="D9C3A8" w:sz="4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19"/>
                <w:szCs w:val="19"/>
              </w:rPr>
              <w:t xml:space="preserve">FODA y FODA cruzado</w:t>
            </w:r>
          </w:p>
        </w:tc>
        <w:tc>
          <w:tcPr>
            <w:tcW w:type="dxa" w:w="1091"/>
            <w:tcBorders>
              <w:top w:val="single" w:color="D9C3A8" w:sz="4"/>
              <w:left w:val="single" w:color="D9C3A8" w:sz="4"/>
              <w:bottom w:val="single" w:color="D9C3A8" w:sz="4"/>
              <w:right w:val="single" w:color="D9C3A8" w:sz="4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19"/>
                <w:szCs w:val="19"/>
              </w:rPr>
              <w:t xml:space="preserve">Diana</w:t>
            </w:r>
          </w:p>
        </w:tc>
        <w:tc>
          <w:tcPr>
            <w:tcW w:type="dxa" w:w="3636"/>
            <w:tcBorders>
              <w:top w:val="single" w:color="D9C3A8" w:sz="4"/>
              <w:left w:val="single" w:color="D9C3A8" w:sz="4"/>
              <w:bottom w:val="single" w:color="D9C3A8" w:sz="4"/>
              <w:right w:val="single" w:color="D9C3A8" w:sz="4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19"/>
                <w:szCs w:val="19"/>
              </w:rPr>
              <w:t xml:space="preserve">Hecho (propuesta para revisar): </w:t>
            </w:r>
            <w:r>
              <w:rPr>
                <w:rFonts w:ascii="Consolas" w:cs="Consolas" w:eastAsia="Consolas" w:hAnsi="Consolas"/>
                <w:color w:val="4A2018"/>
                <w:sz w:val="19"/>
                <w:szCs w:val="19"/>
              </w:rPr>
              <w:t xml:space="preserve">T2_04_FODA-y-FODA-cruzado.md</w:t>
            </w:r>
            <w:r>
              <w:rPr>
                <w:sz w:val="19"/>
                <w:szCs w:val="19"/>
              </w:rPr>
              <w:t xml:space="preserve">, corregido a partir de la sección 6. Falta pegar el FODA cruzado en el Drive</w:t>
            </w:r>
          </w:p>
        </w:tc>
      </w:tr>
      <w:tr>
        <w:trPr>
          <w:tblHeader w:val="false"/>
        </w:trPr>
        <w:tc>
          <w:tcPr>
            <w:tcW w:type="dxa" w:w="997"/>
            <w:tcBorders>
              <w:top w:val="single" w:color="D9C3A8" w:sz="4"/>
              <w:left w:val="single" w:color="D9C3A8" w:sz="4"/>
              <w:bottom w:val="single" w:color="D9C3A8" w:sz="4"/>
              <w:right w:val="single" w:color="D9C3A8" w:sz="4"/>
            </w:tcBorders>
            <w:shd w:fill="F7ECD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19"/>
                <w:szCs w:val="19"/>
              </w:rPr>
              <w:t xml:space="preserve">5</w:t>
            </w:r>
          </w:p>
        </w:tc>
        <w:tc>
          <w:tcPr>
            <w:tcW w:type="dxa" w:w="3636"/>
            <w:tcBorders>
              <w:top w:val="single" w:color="D9C3A8" w:sz="4"/>
              <w:left w:val="single" w:color="D9C3A8" w:sz="4"/>
              <w:bottom w:val="single" w:color="D9C3A8" w:sz="4"/>
              <w:right w:val="single" w:color="D9C3A8" w:sz="4"/>
            </w:tcBorders>
            <w:shd w:fill="F7ECD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19"/>
                <w:szCs w:val="19"/>
              </w:rPr>
              <w:t xml:space="preserve">Datos del mercado en números</w:t>
            </w:r>
          </w:p>
        </w:tc>
        <w:tc>
          <w:tcPr>
            <w:tcW w:type="dxa" w:w="1091"/>
            <w:tcBorders>
              <w:top w:val="single" w:color="D9C3A8" w:sz="4"/>
              <w:left w:val="single" w:color="D9C3A8" w:sz="4"/>
              <w:bottom w:val="single" w:color="D9C3A8" w:sz="4"/>
              <w:right w:val="single" w:color="D9C3A8" w:sz="4"/>
            </w:tcBorders>
            <w:shd w:fill="F7ECD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19"/>
                <w:szCs w:val="19"/>
              </w:rPr>
              <w:t xml:space="preserve">Ade</w:t>
            </w:r>
          </w:p>
        </w:tc>
        <w:tc>
          <w:tcPr>
            <w:tcW w:type="dxa" w:w="3636"/>
            <w:tcBorders>
              <w:top w:val="single" w:color="D9C3A8" w:sz="4"/>
              <w:left w:val="single" w:color="D9C3A8" w:sz="4"/>
              <w:bottom w:val="single" w:color="D9C3A8" w:sz="4"/>
              <w:right w:val="single" w:color="D9C3A8" w:sz="4"/>
            </w:tcBorders>
            <w:shd w:fill="F7ECD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19"/>
                <w:szCs w:val="19"/>
              </w:rPr>
              <w:t xml:space="preserve">Hecho</w:t>
            </w:r>
          </w:p>
        </w:tc>
      </w:tr>
      <w:tr>
        <w:trPr>
          <w:tblHeader w:val="false"/>
        </w:trPr>
        <w:tc>
          <w:tcPr>
            <w:tcW w:type="dxa" w:w="997"/>
            <w:tcBorders>
              <w:top w:val="single" w:color="D9C3A8" w:sz="4"/>
              <w:left w:val="single" w:color="D9C3A8" w:sz="4"/>
              <w:bottom w:val="single" w:color="D9C3A8" w:sz="4"/>
              <w:right w:val="single" w:color="D9C3A8" w:sz="4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19"/>
                <w:szCs w:val="19"/>
              </w:rPr>
              <w:t xml:space="preserve">6</w:t>
            </w:r>
          </w:p>
        </w:tc>
        <w:tc>
          <w:tcPr>
            <w:tcW w:type="dxa" w:w="3636"/>
            <w:tcBorders>
              <w:top w:val="single" w:color="D9C3A8" w:sz="4"/>
              <w:left w:val="single" w:color="D9C3A8" w:sz="4"/>
              <w:bottom w:val="single" w:color="D9C3A8" w:sz="4"/>
              <w:right w:val="single" w:color="D9C3A8" w:sz="4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19"/>
                <w:szCs w:val="19"/>
              </w:rPr>
              <w:t xml:space="preserve">Proyección de demanda y crecimiento 2027</w:t>
            </w:r>
          </w:p>
        </w:tc>
        <w:tc>
          <w:tcPr>
            <w:tcW w:type="dxa" w:w="1091"/>
            <w:tcBorders>
              <w:top w:val="single" w:color="D9C3A8" w:sz="4"/>
              <w:left w:val="single" w:color="D9C3A8" w:sz="4"/>
              <w:bottom w:val="single" w:color="D9C3A8" w:sz="4"/>
              <w:right w:val="single" w:color="D9C3A8" w:sz="4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19"/>
                <w:szCs w:val="19"/>
              </w:rPr>
              <w:t xml:space="preserve">Ade</w:t>
            </w:r>
          </w:p>
        </w:tc>
        <w:tc>
          <w:tcPr>
            <w:tcW w:type="dxa" w:w="3636"/>
            <w:tcBorders>
              <w:top w:val="single" w:color="D9C3A8" w:sz="4"/>
              <w:left w:val="single" w:color="D9C3A8" w:sz="4"/>
              <w:bottom w:val="single" w:color="D9C3A8" w:sz="4"/>
              <w:right w:val="single" w:color="D9C3A8" w:sz="4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19"/>
                <w:szCs w:val="19"/>
              </w:rPr>
              <w:t xml:space="preserve">Hecho</w:t>
            </w:r>
          </w:p>
        </w:tc>
      </w:tr>
      <w:tr>
        <w:trPr>
          <w:tblHeader w:val="false"/>
        </w:trPr>
        <w:tc>
          <w:tcPr>
            <w:tcW w:type="dxa" w:w="997"/>
            <w:tcBorders>
              <w:top w:val="single" w:color="D9C3A8" w:sz="4"/>
              <w:left w:val="single" w:color="D9C3A8" w:sz="4"/>
              <w:bottom w:val="single" w:color="D9C3A8" w:sz="4"/>
              <w:right w:val="single" w:color="D9C3A8" w:sz="4"/>
            </w:tcBorders>
            <w:shd w:fill="F7ECD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19"/>
                <w:szCs w:val="19"/>
              </w:rPr>
              <w:t xml:space="preserve">7</w:t>
            </w:r>
          </w:p>
        </w:tc>
        <w:tc>
          <w:tcPr>
            <w:tcW w:type="dxa" w:w="3636"/>
            <w:tcBorders>
              <w:top w:val="single" w:color="D9C3A8" w:sz="4"/>
              <w:left w:val="single" w:color="D9C3A8" w:sz="4"/>
              <w:bottom w:val="single" w:color="D9C3A8" w:sz="4"/>
              <w:right w:val="single" w:color="D9C3A8" w:sz="4"/>
            </w:tcBorders>
            <w:shd w:fill="F7ECD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19"/>
                <w:szCs w:val="19"/>
              </w:rPr>
              <w:t xml:space="preserve">3 objetivos SMART y KPI</w:t>
            </w:r>
          </w:p>
        </w:tc>
        <w:tc>
          <w:tcPr>
            <w:tcW w:type="dxa" w:w="1091"/>
            <w:tcBorders>
              <w:top w:val="single" w:color="D9C3A8" w:sz="4"/>
              <w:left w:val="single" w:color="D9C3A8" w:sz="4"/>
              <w:bottom w:val="single" w:color="D9C3A8" w:sz="4"/>
              <w:right w:val="single" w:color="D9C3A8" w:sz="4"/>
            </w:tcBorders>
            <w:shd w:fill="F7ECD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19"/>
                <w:szCs w:val="19"/>
              </w:rPr>
              <w:t xml:space="preserve">Ade</w:t>
            </w:r>
          </w:p>
        </w:tc>
        <w:tc>
          <w:tcPr>
            <w:tcW w:type="dxa" w:w="3636"/>
            <w:tcBorders>
              <w:top w:val="single" w:color="D9C3A8" w:sz="4"/>
              <w:left w:val="single" w:color="D9C3A8" w:sz="4"/>
              <w:bottom w:val="single" w:color="D9C3A8" w:sz="4"/>
              <w:right w:val="single" w:color="D9C3A8" w:sz="4"/>
            </w:tcBorders>
            <w:shd w:fill="F7ECD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19"/>
                <w:szCs w:val="19"/>
              </w:rPr>
              <w:t xml:space="preserve">Hecho</w:t>
            </w:r>
          </w:p>
        </w:tc>
      </w:tr>
      <w:tr>
        <w:trPr>
          <w:tblHeader w:val="false"/>
        </w:trPr>
        <w:tc>
          <w:tcPr>
            <w:tcW w:type="dxa" w:w="997"/>
            <w:tcBorders>
              <w:top w:val="single" w:color="D9C3A8" w:sz="4"/>
              <w:left w:val="single" w:color="D9C3A8" w:sz="4"/>
              <w:bottom w:val="single" w:color="D9C3A8" w:sz="4"/>
              <w:right w:val="single" w:color="D9C3A8" w:sz="4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19"/>
                <w:szCs w:val="19"/>
              </w:rPr>
              <w:t xml:space="preserve">8</w:t>
            </w:r>
          </w:p>
        </w:tc>
        <w:tc>
          <w:tcPr>
            <w:tcW w:type="dxa" w:w="3636"/>
            <w:tcBorders>
              <w:top w:val="single" w:color="D9C3A8" w:sz="4"/>
              <w:left w:val="single" w:color="D9C3A8" w:sz="4"/>
              <w:bottom w:val="single" w:color="D9C3A8" w:sz="4"/>
              <w:right w:val="single" w:color="D9C3A8" w:sz="4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19"/>
                <w:szCs w:val="19"/>
              </w:rPr>
              <w:t xml:space="preserve">Qué le importa al cliente (prompt de IA de la clase)</w:t>
            </w:r>
          </w:p>
        </w:tc>
        <w:tc>
          <w:tcPr>
            <w:tcW w:type="dxa" w:w="1091"/>
            <w:tcBorders>
              <w:top w:val="single" w:color="D9C3A8" w:sz="4"/>
              <w:left w:val="single" w:color="D9C3A8" w:sz="4"/>
              <w:bottom w:val="single" w:color="D9C3A8" w:sz="4"/>
              <w:right w:val="single" w:color="D9C3A8" w:sz="4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19"/>
                <w:szCs w:val="19"/>
              </w:rPr>
              <w:t xml:space="preserve">Paty</w:t>
            </w:r>
          </w:p>
        </w:tc>
        <w:tc>
          <w:tcPr>
            <w:tcW w:type="dxa" w:w="3636"/>
            <w:tcBorders>
              <w:top w:val="single" w:color="D9C3A8" w:sz="4"/>
              <w:left w:val="single" w:color="D9C3A8" w:sz="4"/>
              <w:bottom w:val="single" w:color="D9C3A8" w:sz="4"/>
              <w:right w:val="single" w:color="D9C3A8" w:sz="4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19"/>
                <w:szCs w:val="19"/>
              </w:rPr>
              <w:t xml:space="preserve">Hecho</w:t>
            </w:r>
          </w:p>
        </w:tc>
      </w:tr>
      <w:tr>
        <w:trPr>
          <w:tblHeader w:val="false"/>
        </w:trPr>
        <w:tc>
          <w:tcPr>
            <w:tcW w:type="dxa" w:w="997"/>
            <w:tcBorders>
              <w:top w:val="single" w:color="D9C3A8" w:sz="4"/>
              <w:left w:val="single" w:color="D9C3A8" w:sz="4"/>
              <w:bottom w:val="single" w:color="D9C3A8" w:sz="4"/>
              <w:right w:val="single" w:color="D9C3A8" w:sz="4"/>
            </w:tcBorders>
            <w:shd w:fill="F7ECD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19"/>
                <w:szCs w:val="19"/>
              </w:rPr>
              <w:t xml:space="preserve">9</w:t>
            </w:r>
          </w:p>
        </w:tc>
        <w:tc>
          <w:tcPr>
            <w:tcW w:type="dxa" w:w="3636"/>
            <w:tcBorders>
              <w:top w:val="single" w:color="D9C3A8" w:sz="4"/>
              <w:left w:val="single" w:color="D9C3A8" w:sz="4"/>
              <w:bottom w:val="single" w:color="D9C3A8" w:sz="4"/>
              <w:right w:val="single" w:color="D9C3A8" w:sz="4"/>
            </w:tcBorders>
            <w:shd w:fill="F7ECD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19"/>
                <w:szCs w:val="19"/>
              </w:rPr>
              <w:t xml:space="preserve">Segmentación y 2 buyer persona (prompt de IA de la clase)</w:t>
            </w:r>
          </w:p>
        </w:tc>
        <w:tc>
          <w:tcPr>
            <w:tcW w:type="dxa" w:w="1091"/>
            <w:tcBorders>
              <w:top w:val="single" w:color="D9C3A8" w:sz="4"/>
              <w:left w:val="single" w:color="D9C3A8" w:sz="4"/>
              <w:bottom w:val="single" w:color="D9C3A8" w:sz="4"/>
              <w:right w:val="single" w:color="D9C3A8" w:sz="4"/>
            </w:tcBorders>
            <w:shd w:fill="F7ECD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19"/>
                <w:szCs w:val="19"/>
              </w:rPr>
              <w:t xml:space="preserve">Paty</w:t>
            </w:r>
          </w:p>
        </w:tc>
        <w:tc>
          <w:tcPr>
            <w:tcW w:type="dxa" w:w="3636"/>
            <w:tcBorders>
              <w:top w:val="single" w:color="D9C3A8" w:sz="4"/>
              <w:left w:val="single" w:color="D9C3A8" w:sz="4"/>
              <w:bottom w:val="single" w:color="D9C3A8" w:sz="4"/>
              <w:right w:val="single" w:color="D9C3A8" w:sz="4"/>
            </w:tcBorders>
            <w:shd w:fill="F7ECD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19"/>
                <w:szCs w:val="19"/>
              </w:rPr>
              <w:t xml:space="preserve">Hecho</w:t>
            </w:r>
          </w:p>
        </w:tc>
      </w:tr>
      <w:tr>
        <w:trPr>
          <w:tblHeader w:val="false"/>
        </w:trPr>
        <w:tc>
          <w:tcPr>
            <w:tcW w:type="dxa" w:w="997"/>
            <w:tcBorders>
              <w:top w:val="single" w:color="D9C3A8" w:sz="4"/>
              <w:left w:val="single" w:color="D9C3A8" w:sz="4"/>
              <w:bottom w:val="single" w:color="D9C3A8" w:sz="4"/>
              <w:right w:val="single" w:color="D9C3A8" w:sz="4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19"/>
                <w:szCs w:val="19"/>
              </w:rPr>
              <w:t xml:space="preserve">10</w:t>
            </w:r>
          </w:p>
        </w:tc>
        <w:tc>
          <w:tcPr>
            <w:tcW w:type="dxa" w:w="3636"/>
            <w:tcBorders>
              <w:top w:val="single" w:color="D9C3A8" w:sz="4"/>
              <w:left w:val="single" w:color="D9C3A8" w:sz="4"/>
              <w:bottom w:val="single" w:color="D9C3A8" w:sz="4"/>
              <w:right w:val="single" w:color="D9C3A8" w:sz="4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19"/>
                <w:szCs w:val="19"/>
              </w:rPr>
              <w:t xml:space="preserve">Posicionamiento (prompt de IA de la clase)</w:t>
            </w:r>
          </w:p>
        </w:tc>
        <w:tc>
          <w:tcPr>
            <w:tcW w:type="dxa" w:w="1091"/>
            <w:tcBorders>
              <w:top w:val="single" w:color="D9C3A8" w:sz="4"/>
              <w:left w:val="single" w:color="D9C3A8" w:sz="4"/>
              <w:bottom w:val="single" w:color="D9C3A8" w:sz="4"/>
              <w:right w:val="single" w:color="D9C3A8" w:sz="4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19"/>
                <w:szCs w:val="19"/>
              </w:rPr>
              <w:t xml:space="preserve">Paty</w:t>
            </w:r>
          </w:p>
        </w:tc>
        <w:tc>
          <w:tcPr>
            <w:tcW w:type="dxa" w:w="3636"/>
            <w:tcBorders>
              <w:top w:val="single" w:color="D9C3A8" w:sz="4"/>
              <w:left w:val="single" w:color="D9C3A8" w:sz="4"/>
              <w:bottom w:val="single" w:color="D9C3A8" w:sz="4"/>
              <w:right w:val="single" w:color="D9C3A8" w:sz="4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19"/>
                <w:szCs w:val="19"/>
              </w:rPr>
              <w:t xml:space="preserve">Hecho</w:t>
            </w:r>
          </w:p>
        </w:tc>
      </w:tr>
      <w:tr>
        <w:trPr>
          <w:tblHeader w:val="false"/>
        </w:trPr>
        <w:tc>
          <w:tcPr>
            <w:tcW w:type="dxa" w:w="997"/>
            <w:tcBorders>
              <w:top w:val="single" w:color="D9C3A8" w:sz="4"/>
              <w:left w:val="single" w:color="D9C3A8" w:sz="4"/>
              <w:bottom w:val="single" w:color="D9C3A8" w:sz="4"/>
              <w:right w:val="single" w:color="D9C3A8" w:sz="4"/>
            </w:tcBorders>
            <w:shd w:fill="F7ECD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19"/>
                <w:szCs w:val="19"/>
              </w:rPr>
              <w:t xml:space="preserve">11</w:t>
            </w:r>
          </w:p>
        </w:tc>
        <w:tc>
          <w:tcPr>
            <w:tcW w:type="dxa" w:w="3636"/>
            <w:tcBorders>
              <w:top w:val="single" w:color="D9C3A8" w:sz="4"/>
              <w:left w:val="single" w:color="D9C3A8" w:sz="4"/>
              <w:bottom w:val="single" w:color="D9C3A8" w:sz="4"/>
              <w:right w:val="single" w:color="D9C3A8" w:sz="4"/>
            </w:tcBorders>
            <w:shd w:fill="F7ECD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19"/>
                <w:szCs w:val="19"/>
              </w:rPr>
              <w:t xml:space="preserve">Slogan y palabras, imágenes y emociones</w:t>
            </w:r>
          </w:p>
        </w:tc>
        <w:tc>
          <w:tcPr>
            <w:tcW w:type="dxa" w:w="1091"/>
            <w:tcBorders>
              <w:top w:val="single" w:color="D9C3A8" w:sz="4"/>
              <w:left w:val="single" w:color="D9C3A8" w:sz="4"/>
              <w:bottom w:val="single" w:color="D9C3A8" w:sz="4"/>
              <w:right w:val="single" w:color="D9C3A8" w:sz="4"/>
            </w:tcBorders>
            <w:shd w:fill="F7ECD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19"/>
                <w:szCs w:val="19"/>
              </w:rPr>
              <w:t xml:space="preserve">Paty</w:t>
            </w:r>
          </w:p>
        </w:tc>
        <w:tc>
          <w:tcPr>
            <w:tcW w:type="dxa" w:w="3636"/>
            <w:tcBorders>
              <w:top w:val="single" w:color="D9C3A8" w:sz="4"/>
              <w:left w:val="single" w:color="D9C3A8" w:sz="4"/>
              <w:bottom w:val="single" w:color="D9C3A8" w:sz="4"/>
              <w:right w:val="single" w:color="D9C3A8" w:sz="4"/>
            </w:tcBorders>
            <w:shd w:fill="F7ECD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19"/>
                <w:szCs w:val="19"/>
              </w:rPr>
              <w:t xml:space="preserve">Hecho</w:t>
            </w:r>
          </w:p>
        </w:tc>
      </w:tr>
      <w:tr>
        <w:trPr>
          <w:tblHeader w:val="false"/>
        </w:trPr>
        <w:tc>
          <w:tcPr>
            <w:tcW w:type="dxa" w:w="997"/>
            <w:tcBorders>
              <w:top w:val="single" w:color="D9C3A8" w:sz="4"/>
              <w:left w:val="single" w:color="D9C3A8" w:sz="4"/>
              <w:bottom w:val="single" w:color="D9C3A8" w:sz="4"/>
              <w:right w:val="single" w:color="D9C3A8" w:sz="4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19"/>
                <w:szCs w:val="19"/>
              </w:rPr>
              <w:t xml:space="preserve">12</w:t>
            </w:r>
          </w:p>
        </w:tc>
        <w:tc>
          <w:tcPr>
            <w:tcW w:type="dxa" w:w="3636"/>
            <w:tcBorders>
              <w:top w:val="single" w:color="D9C3A8" w:sz="4"/>
              <w:left w:val="single" w:color="D9C3A8" w:sz="4"/>
              <w:bottom w:val="single" w:color="D9C3A8" w:sz="4"/>
              <w:right w:val="single" w:color="D9C3A8" w:sz="4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19"/>
                <w:szCs w:val="19"/>
              </w:rPr>
              <w:t xml:space="preserve">Manual de marca y plantilla de la PPT (ya existe </w:t>
            </w:r>
            <w:r>
              <w:rPr>
                <w:rFonts w:ascii="Consolas" w:cs="Consolas" w:eastAsia="Consolas" w:hAnsi="Consolas"/>
                <w:color w:val="4A2018"/>
                <w:sz w:val="19"/>
                <w:szCs w:val="19"/>
              </w:rPr>
              <w:t xml:space="preserve">T2_12_Plantilla-PPT-AndiBite.pptx</w:t>
            </w:r>
            <w:r>
              <w:rPr>
                <w:sz w:val="19"/>
                <w:szCs w:val="19"/>
              </w:rPr>
              <w:t xml:space="preserve">)</w:t>
            </w:r>
          </w:p>
        </w:tc>
        <w:tc>
          <w:tcPr>
            <w:tcW w:type="dxa" w:w="1091"/>
            <w:tcBorders>
              <w:top w:val="single" w:color="D9C3A8" w:sz="4"/>
              <w:left w:val="single" w:color="D9C3A8" w:sz="4"/>
              <w:bottom w:val="single" w:color="D9C3A8" w:sz="4"/>
              <w:right w:val="single" w:color="D9C3A8" w:sz="4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19"/>
                <w:szCs w:val="19"/>
              </w:rPr>
              <w:t xml:space="preserve">Carlos</w:t>
            </w:r>
          </w:p>
        </w:tc>
        <w:tc>
          <w:tcPr>
            <w:tcW w:type="dxa" w:w="3636"/>
            <w:tcBorders>
              <w:top w:val="single" w:color="D9C3A8" w:sz="4"/>
              <w:left w:val="single" w:color="D9C3A8" w:sz="4"/>
              <w:bottom w:val="single" w:color="D9C3A8" w:sz="4"/>
              <w:right w:val="single" w:color="D9C3A8" w:sz="4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19"/>
                <w:szCs w:val="19"/>
              </w:rPr>
              <w:t xml:space="preserve">Hecho</w:t>
            </w:r>
          </w:p>
        </w:tc>
      </w:tr>
      <w:tr>
        <w:trPr>
          <w:tblHeader w:val="false"/>
        </w:trPr>
        <w:tc>
          <w:tcPr>
            <w:tcW w:type="dxa" w:w="997"/>
            <w:tcBorders>
              <w:top w:val="single" w:color="D9C3A8" w:sz="4"/>
              <w:left w:val="single" w:color="D9C3A8" w:sz="4"/>
              <w:bottom w:val="single" w:color="D9C3A8" w:sz="4"/>
              <w:right w:val="single" w:color="D9C3A8" w:sz="4"/>
            </w:tcBorders>
            <w:shd w:fill="F7ECD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19"/>
                <w:szCs w:val="19"/>
              </w:rPr>
              <w:t xml:space="preserve">13</w:t>
            </w:r>
          </w:p>
        </w:tc>
        <w:tc>
          <w:tcPr>
            <w:tcW w:type="dxa" w:w="3636"/>
            <w:tcBorders>
              <w:top w:val="single" w:color="D9C3A8" w:sz="4"/>
              <w:left w:val="single" w:color="D9C3A8" w:sz="4"/>
              <w:bottom w:val="single" w:color="D9C3A8" w:sz="4"/>
              <w:right w:val="single" w:color="D9C3A8" w:sz="4"/>
            </w:tcBorders>
            <w:shd w:fill="F7ECD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19"/>
                <w:szCs w:val="19"/>
              </w:rPr>
              <w:t xml:space="preserve">Concepto de campaña, storytelling y estrategia de comunicación</w:t>
            </w:r>
          </w:p>
        </w:tc>
        <w:tc>
          <w:tcPr>
            <w:tcW w:type="dxa" w:w="1091"/>
            <w:tcBorders>
              <w:top w:val="single" w:color="D9C3A8" w:sz="4"/>
              <w:left w:val="single" w:color="D9C3A8" w:sz="4"/>
              <w:bottom w:val="single" w:color="D9C3A8" w:sz="4"/>
              <w:right w:val="single" w:color="D9C3A8" w:sz="4"/>
            </w:tcBorders>
            <w:shd w:fill="F7ECD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19"/>
                <w:szCs w:val="19"/>
              </w:rPr>
              <w:t xml:space="preserve">Carlos</w:t>
            </w:r>
          </w:p>
        </w:tc>
        <w:tc>
          <w:tcPr>
            <w:tcW w:type="dxa" w:w="3636"/>
            <w:tcBorders>
              <w:top w:val="single" w:color="D9C3A8" w:sz="4"/>
              <w:left w:val="single" w:color="D9C3A8" w:sz="4"/>
              <w:bottom w:val="single" w:color="D9C3A8" w:sz="4"/>
              <w:right w:val="single" w:color="D9C3A8" w:sz="4"/>
            </w:tcBorders>
            <w:shd w:fill="F7ECD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19"/>
                <w:szCs w:val="19"/>
              </w:rPr>
              <w:t xml:space="preserve">Hecho</w:t>
            </w:r>
          </w:p>
        </w:tc>
      </w:tr>
      <w:tr>
        <w:trPr>
          <w:tblHeader w:val="false"/>
        </w:trPr>
        <w:tc>
          <w:tcPr>
            <w:tcW w:type="dxa" w:w="997"/>
            <w:tcBorders>
              <w:top w:val="single" w:color="D9C3A8" w:sz="4"/>
              <w:left w:val="single" w:color="D9C3A8" w:sz="4"/>
              <w:bottom w:val="single" w:color="D9C3A8" w:sz="4"/>
              <w:right w:val="single" w:color="D9C3A8" w:sz="4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19"/>
                <w:szCs w:val="19"/>
              </w:rPr>
              <w:t xml:space="preserve">14</w:t>
            </w:r>
          </w:p>
        </w:tc>
        <w:tc>
          <w:tcPr>
            <w:tcW w:type="dxa" w:w="3636"/>
            <w:tcBorders>
              <w:top w:val="single" w:color="D9C3A8" w:sz="4"/>
              <w:left w:val="single" w:color="D9C3A8" w:sz="4"/>
              <w:bottom w:val="single" w:color="D9C3A8" w:sz="4"/>
              <w:right w:val="single" w:color="D9C3A8" w:sz="4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19"/>
                <w:szCs w:val="19"/>
              </w:rPr>
              <w:t xml:space="preserve">Ecosistema digital, Meta Ads en video (5-3-2 AIDA, testimonios) y cierre por WhatsApp o landing</w:t>
            </w:r>
          </w:p>
        </w:tc>
        <w:tc>
          <w:tcPr>
            <w:tcW w:type="dxa" w:w="1091"/>
            <w:tcBorders>
              <w:top w:val="single" w:color="D9C3A8" w:sz="4"/>
              <w:left w:val="single" w:color="D9C3A8" w:sz="4"/>
              <w:bottom w:val="single" w:color="D9C3A8" w:sz="4"/>
              <w:right w:val="single" w:color="D9C3A8" w:sz="4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19"/>
                <w:szCs w:val="19"/>
              </w:rPr>
              <w:t xml:space="preserve">Carlos</w:t>
            </w:r>
          </w:p>
        </w:tc>
        <w:tc>
          <w:tcPr>
            <w:tcW w:type="dxa" w:w="3636"/>
            <w:tcBorders>
              <w:top w:val="single" w:color="D9C3A8" w:sz="4"/>
              <w:left w:val="single" w:color="D9C3A8" w:sz="4"/>
              <w:bottom w:val="single" w:color="D9C3A8" w:sz="4"/>
              <w:right w:val="single" w:color="D9C3A8" w:sz="4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19"/>
                <w:szCs w:val="19"/>
              </w:rPr>
              <w:t xml:space="preserve">Hecho (la explicación escrita del "5-3-2" sale de los apuntes de Carlos; la de la clase todavía no está en el Drive)</w:t>
            </w:r>
          </w:p>
        </w:tc>
      </w:tr>
      <w:tr>
        <w:trPr>
          <w:tblHeader w:val="false"/>
        </w:trPr>
        <w:tc>
          <w:tcPr>
            <w:tcW w:type="dxa" w:w="997"/>
            <w:tcBorders>
              <w:top w:val="single" w:color="D9C3A8" w:sz="4"/>
              <w:left w:val="single" w:color="D9C3A8" w:sz="4"/>
              <w:bottom w:val="single" w:color="D9C3A8" w:sz="4"/>
              <w:right w:val="single" w:color="D9C3A8" w:sz="4"/>
            </w:tcBorders>
            <w:shd w:fill="F7ECD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19"/>
                <w:szCs w:val="19"/>
              </w:rPr>
              <w:t xml:space="preserve">15</w:t>
            </w:r>
          </w:p>
        </w:tc>
        <w:tc>
          <w:tcPr>
            <w:tcW w:type="dxa" w:w="3636"/>
            <w:tcBorders>
              <w:top w:val="single" w:color="D9C3A8" w:sz="4"/>
              <w:left w:val="single" w:color="D9C3A8" w:sz="4"/>
              <w:bottom w:val="single" w:color="D9C3A8" w:sz="4"/>
              <w:right w:val="single" w:color="D9C3A8" w:sz="4"/>
            </w:tcBorders>
            <w:shd w:fill="F7ECD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19"/>
                <w:szCs w:val="19"/>
              </w:rPr>
              <w:t xml:space="preserve">Calendario de contenido</w:t>
            </w:r>
          </w:p>
        </w:tc>
        <w:tc>
          <w:tcPr>
            <w:tcW w:type="dxa" w:w="1091"/>
            <w:tcBorders>
              <w:top w:val="single" w:color="D9C3A8" w:sz="4"/>
              <w:left w:val="single" w:color="D9C3A8" w:sz="4"/>
              <w:bottom w:val="single" w:color="D9C3A8" w:sz="4"/>
              <w:right w:val="single" w:color="D9C3A8" w:sz="4"/>
            </w:tcBorders>
            <w:shd w:fill="F7ECD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19"/>
                <w:szCs w:val="19"/>
              </w:rPr>
              <w:t xml:space="preserve">Carlos</w:t>
            </w:r>
          </w:p>
        </w:tc>
        <w:tc>
          <w:tcPr>
            <w:tcW w:type="dxa" w:w="3636"/>
            <w:tcBorders>
              <w:top w:val="single" w:color="D9C3A8" w:sz="4"/>
              <w:left w:val="single" w:color="D9C3A8" w:sz="4"/>
              <w:bottom w:val="single" w:color="D9C3A8" w:sz="4"/>
              <w:right w:val="single" w:color="D9C3A8" w:sz="4"/>
            </w:tcBorders>
            <w:shd w:fill="F7ECD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19"/>
                <w:szCs w:val="19"/>
              </w:rPr>
              <w:t xml:space="preserve">Hecho</w:t>
            </w:r>
          </w:p>
        </w:tc>
      </w:tr>
      <w:tr>
        <w:trPr>
          <w:tblHeader w:val="false"/>
        </w:trPr>
        <w:tc>
          <w:tcPr>
            <w:tcW w:type="dxa" w:w="997"/>
            <w:tcBorders>
              <w:top w:val="single" w:color="D9C3A8" w:sz="4"/>
              <w:left w:val="single" w:color="D9C3A8" w:sz="4"/>
              <w:bottom w:val="single" w:color="D9C3A8" w:sz="4"/>
              <w:right w:val="single" w:color="D9C3A8" w:sz="4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19"/>
                <w:szCs w:val="19"/>
              </w:rPr>
              <w:t xml:space="preserve">16</w:t>
            </w:r>
          </w:p>
        </w:tc>
        <w:tc>
          <w:tcPr>
            <w:tcW w:type="dxa" w:w="3636"/>
            <w:tcBorders>
              <w:top w:val="single" w:color="D9C3A8" w:sz="4"/>
              <w:left w:val="single" w:color="D9C3A8" w:sz="4"/>
              <w:bottom w:val="single" w:color="D9C3A8" w:sz="4"/>
              <w:right w:val="single" w:color="D9C3A8" w:sz="4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19"/>
                <w:szCs w:val="19"/>
              </w:rPr>
              <w:t xml:space="preserve">7P</w:t>
            </w:r>
          </w:p>
        </w:tc>
        <w:tc>
          <w:tcPr>
            <w:tcW w:type="dxa" w:w="1091"/>
            <w:tcBorders>
              <w:top w:val="single" w:color="D9C3A8" w:sz="4"/>
              <w:left w:val="single" w:color="D9C3A8" w:sz="4"/>
              <w:bottom w:val="single" w:color="D9C3A8" w:sz="4"/>
              <w:right w:val="single" w:color="D9C3A8" w:sz="4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19"/>
                <w:szCs w:val="19"/>
              </w:rPr>
              <w:t xml:space="preserve">Angie</w:t>
            </w:r>
          </w:p>
        </w:tc>
        <w:tc>
          <w:tcPr>
            <w:tcW w:type="dxa" w:w="3636"/>
            <w:tcBorders>
              <w:top w:val="single" w:color="D9C3A8" w:sz="4"/>
              <w:left w:val="single" w:color="D9C3A8" w:sz="4"/>
              <w:bottom w:val="single" w:color="D9C3A8" w:sz="4"/>
              <w:right w:val="single" w:color="D9C3A8" w:sz="4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19"/>
                <w:szCs w:val="19"/>
              </w:rPr>
              <w:t xml:space="preserve">Hecho</w:t>
            </w:r>
          </w:p>
        </w:tc>
      </w:tr>
      <w:tr>
        <w:trPr>
          <w:tblHeader w:val="false"/>
        </w:trPr>
        <w:tc>
          <w:tcPr>
            <w:tcW w:type="dxa" w:w="997"/>
            <w:tcBorders>
              <w:top w:val="single" w:color="D9C3A8" w:sz="4"/>
              <w:left w:val="single" w:color="D9C3A8" w:sz="4"/>
              <w:bottom w:val="single" w:color="D9C3A8" w:sz="4"/>
              <w:right w:val="single" w:color="D9C3A8" w:sz="4"/>
            </w:tcBorders>
            <w:shd w:fill="F7ECD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19"/>
                <w:szCs w:val="19"/>
              </w:rPr>
              <w:t xml:space="preserve">17</w:t>
            </w:r>
          </w:p>
        </w:tc>
        <w:tc>
          <w:tcPr>
            <w:tcW w:type="dxa" w:w="3636"/>
            <w:tcBorders>
              <w:top w:val="single" w:color="D9C3A8" w:sz="4"/>
              <w:left w:val="single" w:color="D9C3A8" w:sz="4"/>
              <w:bottom w:val="single" w:color="D9C3A8" w:sz="4"/>
              <w:right w:val="single" w:color="D9C3A8" w:sz="4"/>
            </w:tcBorders>
            <w:shd w:fill="F7ECD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19"/>
                <w:szCs w:val="19"/>
              </w:rPr>
              <w:t xml:space="preserve">Presupuesto (inversión por canal, CPA, ROAS y ROI; prompt de IA de la clase)</w:t>
            </w:r>
          </w:p>
        </w:tc>
        <w:tc>
          <w:tcPr>
            <w:tcW w:type="dxa" w:w="1091"/>
            <w:tcBorders>
              <w:top w:val="single" w:color="D9C3A8" w:sz="4"/>
              <w:left w:val="single" w:color="D9C3A8" w:sz="4"/>
              <w:bottom w:val="single" w:color="D9C3A8" w:sz="4"/>
              <w:right w:val="single" w:color="D9C3A8" w:sz="4"/>
            </w:tcBorders>
            <w:shd w:fill="F7ECD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19"/>
                <w:szCs w:val="19"/>
              </w:rPr>
              <w:t xml:space="preserve">Angie</w:t>
            </w:r>
          </w:p>
        </w:tc>
        <w:tc>
          <w:tcPr>
            <w:tcW w:type="dxa" w:w="3636"/>
            <w:tcBorders>
              <w:top w:val="single" w:color="D9C3A8" w:sz="4"/>
              <w:left w:val="single" w:color="D9C3A8" w:sz="4"/>
              <w:bottom w:val="single" w:color="D9C3A8" w:sz="4"/>
              <w:right w:val="single" w:color="D9C3A8" w:sz="4"/>
            </w:tcBorders>
            <w:shd w:fill="F7ECD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19"/>
                <w:szCs w:val="19"/>
              </w:rPr>
              <w:t xml:space="preserve">Hecho</w:t>
            </w:r>
          </w:p>
        </w:tc>
      </w:tr>
      <w:tr>
        <w:trPr>
          <w:tblHeader w:val="false"/>
        </w:trPr>
        <w:tc>
          <w:tcPr>
            <w:tcW w:type="dxa" w:w="997"/>
            <w:tcBorders>
              <w:top w:val="single" w:color="D9C3A8" w:sz="4"/>
              <w:left w:val="single" w:color="D9C3A8" w:sz="4"/>
              <w:bottom w:val="single" w:color="D9C3A8" w:sz="4"/>
              <w:right w:val="single" w:color="D9C3A8" w:sz="4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19"/>
                <w:szCs w:val="19"/>
              </w:rPr>
              <w:t xml:space="preserve">18</w:t>
            </w:r>
          </w:p>
        </w:tc>
        <w:tc>
          <w:tcPr>
            <w:tcW w:type="dxa" w:w="3636"/>
            <w:tcBorders>
              <w:top w:val="single" w:color="D9C3A8" w:sz="4"/>
              <w:left w:val="single" w:color="D9C3A8" w:sz="4"/>
              <w:bottom w:val="single" w:color="D9C3A8" w:sz="4"/>
              <w:right w:val="single" w:color="D9C3A8" w:sz="4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19"/>
                <w:szCs w:val="19"/>
              </w:rPr>
              <w:t xml:space="preserve">Diagrama de Gantt</w:t>
            </w:r>
          </w:p>
        </w:tc>
        <w:tc>
          <w:tcPr>
            <w:tcW w:type="dxa" w:w="1091"/>
            <w:tcBorders>
              <w:top w:val="single" w:color="D9C3A8" w:sz="4"/>
              <w:left w:val="single" w:color="D9C3A8" w:sz="4"/>
              <w:bottom w:val="single" w:color="D9C3A8" w:sz="4"/>
              <w:right w:val="single" w:color="D9C3A8" w:sz="4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19"/>
                <w:szCs w:val="19"/>
              </w:rPr>
              <w:t xml:space="preserve">Angie</w:t>
            </w:r>
          </w:p>
        </w:tc>
        <w:tc>
          <w:tcPr>
            <w:tcW w:type="dxa" w:w="3636"/>
            <w:tcBorders>
              <w:top w:val="single" w:color="D9C3A8" w:sz="4"/>
              <w:left w:val="single" w:color="D9C3A8" w:sz="4"/>
              <w:bottom w:val="single" w:color="D9C3A8" w:sz="4"/>
              <w:right w:val="single" w:color="D9C3A8" w:sz="4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19"/>
                <w:szCs w:val="19"/>
              </w:rPr>
              <w:t xml:space="preserve">Hecho</w:t>
            </w:r>
          </w:p>
        </w:tc>
      </w:tr>
      <w:tr>
        <w:trPr>
          <w:tblHeader w:val="false"/>
        </w:trPr>
        <w:tc>
          <w:tcPr>
            <w:tcW w:type="dxa" w:w="997"/>
            <w:tcBorders>
              <w:top w:val="single" w:color="D9C3A8" w:sz="4"/>
              <w:left w:val="single" w:color="D9C3A8" w:sz="4"/>
              <w:bottom w:val="single" w:color="D9C3A8" w:sz="4"/>
              <w:right w:val="single" w:color="D9C3A8" w:sz="4"/>
            </w:tcBorders>
            <w:shd w:fill="F7ECD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19"/>
                <w:szCs w:val="19"/>
              </w:rPr>
              <w:t xml:space="preserve">19</w:t>
            </w:r>
          </w:p>
        </w:tc>
        <w:tc>
          <w:tcPr>
            <w:tcW w:type="dxa" w:w="3636"/>
            <w:tcBorders>
              <w:top w:val="single" w:color="D9C3A8" w:sz="4"/>
              <w:left w:val="single" w:color="D9C3A8" w:sz="4"/>
              <w:bottom w:val="single" w:color="D9C3A8" w:sz="4"/>
              <w:right w:val="single" w:color="D9C3A8" w:sz="4"/>
            </w:tcBorders>
            <w:shd w:fill="F7ECD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19"/>
                <w:szCs w:val="19"/>
              </w:rPr>
              <w:t xml:space="preserve">Control de KPI</w:t>
            </w:r>
          </w:p>
        </w:tc>
        <w:tc>
          <w:tcPr>
            <w:tcW w:type="dxa" w:w="1091"/>
            <w:tcBorders>
              <w:top w:val="single" w:color="D9C3A8" w:sz="4"/>
              <w:left w:val="single" w:color="D9C3A8" w:sz="4"/>
              <w:bottom w:val="single" w:color="D9C3A8" w:sz="4"/>
              <w:right w:val="single" w:color="D9C3A8" w:sz="4"/>
            </w:tcBorders>
            <w:shd w:fill="F7ECD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19"/>
                <w:szCs w:val="19"/>
              </w:rPr>
              <w:t xml:space="preserve">Ade</w:t>
            </w:r>
          </w:p>
        </w:tc>
        <w:tc>
          <w:tcPr>
            <w:tcW w:type="dxa" w:w="3636"/>
            <w:tcBorders>
              <w:top w:val="single" w:color="D9C3A8" w:sz="4"/>
              <w:left w:val="single" w:color="D9C3A8" w:sz="4"/>
              <w:bottom w:val="single" w:color="D9C3A8" w:sz="4"/>
              <w:right w:val="single" w:color="D9C3A8" w:sz="4"/>
            </w:tcBorders>
            <w:shd w:fill="F7ECD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19"/>
                <w:szCs w:val="19"/>
              </w:rPr>
              <w:t xml:space="preserve">Hecho</w:t>
            </w:r>
          </w:p>
        </w:tc>
      </w:tr>
      <w:tr>
        <w:trPr>
          <w:tblHeader w:val="false"/>
        </w:trPr>
        <w:tc>
          <w:tcPr>
            <w:tcW w:type="dxa" w:w="997"/>
            <w:tcBorders>
              <w:top w:val="single" w:color="D9C3A8" w:sz="4"/>
              <w:left w:val="single" w:color="D9C3A8" w:sz="4"/>
              <w:bottom w:val="single" w:color="D9C3A8" w:sz="4"/>
              <w:right w:val="single" w:color="D9C3A8" w:sz="4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19"/>
                <w:szCs w:val="19"/>
              </w:rPr>
              <w:t xml:space="preserve">20</w:t>
            </w:r>
          </w:p>
        </w:tc>
        <w:tc>
          <w:tcPr>
            <w:tcW w:type="dxa" w:w="3636"/>
            <w:tcBorders>
              <w:top w:val="single" w:color="D9C3A8" w:sz="4"/>
              <w:left w:val="single" w:color="D9C3A8" w:sz="4"/>
              <w:bottom w:val="single" w:color="D9C3A8" w:sz="4"/>
              <w:right w:val="single" w:color="D9C3A8" w:sz="4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19"/>
                <w:szCs w:val="19"/>
              </w:rPr>
              <w:t xml:space="preserve">Resumen del caso NutriSmart</w:t>
            </w:r>
          </w:p>
        </w:tc>
        <w:tc>
          <w:tcPr>
            <w:tcW w:type="dxa" w:w="1091"/>
            <w:tcBorders>
              <w:top w:val="single" w:color="D9C3A8" w:sz="4"/>
              <w:left w:val="single" w:color="D9C3A8" w:sz="4"/>
              <w:bottom w:val="single" w:color="D9C3A8" w:sz="4"/>
              <w:right w:val="single" w:color="D9C3A8" w:sz="4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19"/>
                <w:szCs w:val="19"/>
              </w:rPr>
              <w:t xml:space="preserve">Diana</w:t>
            </w:r>
          </w:p>
        </w:tc>
        <w:tc>
          <w:tcPr>
            <w:tcW w:type="dxa" w:w="3636"/>
            <w:tcBorders>
              <w:top w:val="single" w:color="D9C3A8" w:sz="4"/>
              <w:left w:val="single" w:color="D9C3A8" w:sz="4"/>
              <w:bottom w:val="single" w:color="D9C3A8" w:sz="4"/>
              <w:right w:val="single" w:color="D9C3A8" w:sz="4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19"/>
                <w:szCs w:val="19"/>
              </w:rPr>
              <w:t xml:space="preserve">Esperando el caso NutriSmart (la clase lo marca como faltante en el Drive)</w:t>
            </w:r>
          </w:p>
        </w:tc>
      </w:tr>
      <w:tr>
        <w:trPr>
          <w:tblHeader w:val="false"/>
        </w:trPr>
        <w:tc>
          <w:tcPr>
            <w:tcW w:type="dxa" w:w="997"/>
            <w:tcBorders>
              <w:top w:val="single" w:color="D9C3A8" w:sz="4"/>
              <w:left w:val="single" w:color="D9C3A8" w:sz="4"/>
              <w:bottom w:val="single" w:color="D9C3A8" w:sz="4"/>
              <w:right w:val="single" w:color="D9C3A8" w:sz="4"/>
            </w:tcBorders>
            <w:shd w:fill="F7ECD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19"/>
                <w:szCs w:val="19"/>
              </w:rPr>
              <w:t xml:space="preserve">21</w:t>
            </w:r>
          </w:p>
        </w:tc>
        <w:tc>
          <w:tcPr>
            <w:tcW w:type="dxa" w:w="3636"/>
            <w:tcBorders>
              <w:top w:val="single" w:color="D9C3A8" w:sz="4"/>
              <w:left w:val="single" w:color="D9C3A8" w:sz="4"/>
              <w:bottom w:val="single" w:color="D9C3A8" w:sz="4"/>
              <w:right w:val="single" w:color="D9C3A8" w:sz="4"/>
            </w:tcBorders>
            <w:shd w:fill="F7ECD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19"/>
                <w:szCs w:val="19"/>
              </w:rPr>
              <w:t xml:space="preserve">Portada, resumen ejecutivo y cierre</w:t>
            </w:r>
          </w:p>
        </w:tc>
        <w:tc>
          <w:tcPr>
            <w:tcW w:type="dxa" w:w="1091"/>
            <w:tcBorders>
              <w:top w:val="single" w:color="D9C3A8" w:sz="4"/>
              <w:left w:val="single" w:color="D9C3A8" w:sz="4"/>
              <w:bottom w:val="single" w:color="D9C3A8" w:sz="4"/>
              <w:right w:val="single" w:color="D9C3A8" w:sz="4"/>
            </w:tcBorders>
            <w:shd w:fill="F7ECD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19"/>
                <w:szCs w:val="19"/>
              </w:rPr>
              <w:t xml:space="preserve">Diana</w:t>
            </w:r>
          </w:p>
        </w:tc>
        <w:tc>
          <w:tcPr>
            <w:tcW w:type="dxa" w:w="3636"/>
            <w:tcBorders>
              <w:top w:val="single" w:color="D9C3A8" w:sz="4"/>
              <w:left w:val="single" w:color="D9C3A8" w:sz="4"/>
              <w:bottom w:val="single" w:color="D9C3A8" w:sz="4"/>
              <w:right w:val="single" w:color="D9C3A8" w:sz="4"/>
            </w:tcBorders>
            <w:shd w:fill="F7ECD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19"/>
                <w:szCs w:val="19"/>
              </w:rPr>
              <w:t xml:space="preserve">Hecho</w:t>
            </w:r>
          </w:p>
        </w:tc>
      </w:tr>
      <w:tr>
        <w:trPr>
          <w:tblHeader w:val="false"/>
        </w:trPr>
        <w:tc>
          <w:tcPr>
            <w:tcW w:type="dxa" w:w="997"/>
            <w:tcBorders>
              <w:top w:val="single" w:color="D9C3A8" w:sz="4"/>
              <w:left w:val="single" w:color="D9C3A8" w:sz="4"/>
              <w:bottom w:val="single" w:color="D9C3A8" w:sz="4"/>
              <w:right w:val="single" w:color="D9C3A8" w:sz="4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19"/>
                <w:szCs w:val="19"/>
              </w:rPr>
              <w:t xml:space="preserve">22</w:t>
            </w:r>
          </w:p>
        </w:tc>
        <w:tc>
          <w:tcPr>
            <w:tcW w:type="dxa" w:w="3636"/>
            <w:tcBorders>
              <w:top w:val="single" w:color="D9C3A8" w:sz="4"/>
              <w:left w:val="single" w:color="D9C3A8" w:sz="4"/>
              <w:bottom w:val="single" w:color="D9C3A8" w:sz="4"/>
              <w:right w:val="single" w:color="D9C3A8" w:sz="4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19"/>
                <w:szCs w:val="19"/>
              </w:rPr>
              <w:t xml:space="preserve">Unir todo en la plantilla</w:t>
            </w:r>
          </w:p>
        </w:tc>
        <w:tc>
          <w:tcPr>
            <w:tcW w:type="dxa" w:w="1091"/>
            <w:tcBorders>
              <w:top w:val="single" w:color="D9C3A8" w:sz="4"/>
              <w:left w:val="single" w:color="D9C3A8" w:sz="4"/>
              <w:bottom w:val="single" w:color="D9C3A8" w:sz="4"/>
              <w:right w:val="single" w:color="D9C3A8" w:sz="4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19"/>
                <w:szCs w:val="19"/>
              </w:rPr>
              <w:t xml:space="preserve">Carlos</w:t>
            </w:r>
          </w:p>
        </w:tc>
        <w:tc>
          <w:tcPr>
            <w:tcW w:type="dxa" w:w="3636"/>
            <w:tcBorders>
              <w:top w:val="single" w:color="D9C3A8" w:sz="4"/>
              <w:left w:val="single" w:color="D9C3A8" w:sz="4"/>
              <w:bottom w:val="single" w:color="D9C3A8" w:sz="4"/>
              <w:right w:val="single" w:color="D9C3A8" w:sz="4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19"/>
                <w:szCs w:val="19"/>
              </w:rPr>
              <w:t xml:space="preserve">En armado</w:t>
            </w:r>
          </w:p>
        </w:tc>
      </w:tr>
    </w:tbl>
    <w:p>
      <w:pPr>
        <w:spacing w:after="80"/>
      </w:pPr>
    </w:p>
    <w:p>
      <w:pPr>
        <w:spacing w:after="120"/>
      </w:pPr>
      <w:r>
        <w:rPr>
          <w:b/>
          <w:bCs/>
        </w:rPr>
        <w:t xml:space="preserve">Conteo:</w:t>
      </w:r>
      <w:r>
        <w:t xml:space="preserve"> hechos 20 (#0, #1, #2 y #4 como propuestas para revisar, #5 a #19 y #21); en el Drive y revisado 1 (#3); esperando 1 (#20, el caso NutriSmart); en armado 1 (#22). Total: 23 filas (los 22 puntos más este informe).</w:t>
      </w:r>
    </w:p>
    <w:p>
      <w:pPr>
        <w:pStyle w:val="Heading1"/>
      </w:pPr>
      <w:r>
        <w:t xml:space="preserve">3. Revisión del PESTEL de Angie (#3)</w:t>
      </w:r>
    </w:p>
    <w:p>
      <w:pPr>
        <w:pStyle w:val="Heading2"/>
      </w:pPr>
      <w:r>
        <w:t xml:space="preserve">3.1 ¿Está completo según la clase?</w:t>
      </w:r>
    </w:p>
    <w:p>
      <w:pPr>
        <w:spacing w:after="120"/>
      </w:pPr>
      <w:r>
        <w:t xml:space="preserve">La clase pide el PESTEL como primer paso del análisis situacional, antes del benchmark y del FODA, que es la "brújula estratégica". No da una plantilla con campos obligatorios, así que se revisa contra eso y contra el criterio de la unidad (ODS, enfoque digital, uso crítico de IA).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Lo que cumple:</w:t>
      </w:r>
      <w:r>
        <w:t xml:space="preserve"> están las 6 dimensiones (política, económica, social, tecnológica, ambiental y legal); hay 3 o 4 variables por dimensión; cada una tiene una evaluación; hay un resumen y una matriz detallada.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Lo que le falta:</w:t>
      </w:r>
    </w:p>
    <w:p>
      <w:pPr>
        <w:pStyle w:val="ListParagraph"/>
        <w:numPr>
          <w:ilvl w:val="1"/>
          <w:numId w:val="2"/>
        </w:numPr>
        <w:spacing w:after="60"/>
      </w:pPr>
      <w:r>
        <w:t xml:space="preserve">Respaldo con datos: solo 2 de 19 variables tienen número, y ninguna tiene fuente ni fecha. La regla del grupo es que todo número lleve fuente, enlace y fecha.</w:t>
      </w:r>
    </w:p>
    <w:p>
      <w:pPr>
        <w:pStyle w:val="ListParagraph"/>
        <w:numPr>
          <w:ilvl w:val="1"/>
          <w:numId w:val="2"/>
        </w:numPr>
        <w:spacing w:after="60"/>
      </w:pPr>
      <w:r>
        <w:t xml:space="preserve">Una columna de "qué significa para AndiBite". Hoy las variables están en genérico y podrían ser de cualquier snack.</w:t>
      </w:r>
    </w:p>
    <w:p>
      <w:pPr>
        <w:pStyle w:val="ListParagraph"/>
        <w:numPr>
          <w:ilvl w:val="1"/>
          <w:numId w:val="2"/>
        </w:numPr>
        <w:spacing w:after="60"/>
      </w:pPr>
      <w:r>
        <w:t xml:space="preserve">El vínculo con los ODS. HECHOS_v7 fija el ODS 2 (meta 2.2) como principal, y el ODS 3 y el ODS 8 como complementarios.</w:t>
      </w:r>
    </w:p>
    <w:p>
      <w:pPr>
        <w:pStyle w:val="ListParagraph"/>
        <w:numPr>
          <w:ilvl w:val="1"/>
          <w:numId w:val="2"/>
        </w:numPr>
        <w:spacing w:after="60"/>
      </w:pPr>
      <w:r>
        <w:t xml:space="preserve">Dos notas con asterisco (</w:t>
      </w:r>
      <w:r>
        <w:rPr>
          <w:rFonts w:ascii="Consolas" w:cs="Consolas" w:eastAsia="Consolas" w:hAnsi="Consolas"/>
          <w:color w:val="4A2018"/>
          <w:sz w:val="19"/>
          <w:szCs w:val="19"/>
        </w:rPr>
        <w:t xml:space="preserve">*</w:t>
      </w:r>
      <w:r>
        <w:t xml:space="preserve"> en "aceptadas por niños" y </w:t>
      </w:r>
      <w:r>
        <w:rPr>
          <w:rFonts w:ascii="Consolas" w:cs="Consolas" w:eastAsia="Consolas" w:hAnsi="Consolas"/>
          <w:color w:val="4A2018"/>
          <w:sz w:val="19"/>
          <w:szCs w:val="19"/>
        </w:rPr>
        <w:t xml:space="preserve">**</w:t>
      </w:r>
      <w:r>
        <w:t xml:space="preserve"> en "pérdidas por conservación") que no tienen texto de explicación.</w:t>
      </w:r>
    </w:p>
    <w:p>
      <w:pPr>
        <w:pStyle w:val="ListParagraph"/>
        <w:numPr>
          <w:ilvl w:val="1"/>
          <w:numId w:val="2"/>
        </w:numPr>
        <w:spacing w:after="60"/>
      </w:pPr>
      <w:r>
        <w:t xml:space="preserve">Una conexión visible con el FODA: qué oportunidades y amenazas del PESTEL pasan al FODA.</w:t>
      </w:r>
    </w:p>
    <w:p>
      <w:pPr>
        <w:pStyle w:val="ListParagraph"/>
        <w:numPr>
          <w:ilvl w:val="1"/>
          <w:numId w:val="2"/>
        </w:numPr>
        <w:spacing w:after="60"/>
      </w:pPr>
      <w:r>
        <w:t xml:space="preserve">Si se usó IA para armar el PESTEL, decirlo y explicar qué se corrigió. La clase pide "uso crítico de IA".</w:t>
      </w:r>
    </w:p>
    <w:p>
      <w:pPr>
        <w:pStyle w:val="Heading2"/>
      </w:pPr>
      <w:r>
        <w:t xml:space="preserve">3.2 Datos con número: verificación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11"/>
        <w:gridCol w:w="2350"/>
        <w:gridCol w:w="2350"/>
        <w:gridCol w:w="2349"/>
      </w:tblGrid>
      <w:tr>
        <w:trPr>
          <w:tblHeader/>
        </w:trPr>
        <w:tc>
          <w:tcPr>
            <w:tcW w:type="dxa" w:w="2311"/>
            <w:tcBorders>
              <w:top w:val="single" w:color="D9C3A8" w:sz="4"/>
              <w:left w:val="single" w:color="D9C3A8" w:sz="4"/>
              <w:bottom w:val="single" w:color="D9C3A8" w:sz="4"/>
              <w:right w:val="single" w:color="D9C3A8" w:sz="4"/>
            </w:tcBorders>
            <w:shd w:fill="4A2018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Dato de Angie</w:t>
            </w:r>
          </w:p>
        </w:tc>
        <w:tc>
          <w:tcPr>
            <w:tcW w:type="dxa" w:w="2350"/>
            <w:tcBorders>
              <w:top w:val="single" w:color="D9C3A8" w:sz="4"/>
              <w:left w:val="single" w:color="D9C3A8" w:sz="4"/>
              <w:bottom w:val="single" w:color="D9C3A8" w:sz="4"/>
              <w:right w:val="single" w:color="D9C3A8" w:sz="4"/>
            </w:tcBorders>
            <w:shd w:fill="4A2018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¿Es correcto?</w:t>
            </w:r>
          </w:p>
        </w:tc>
        <w:tc>
          <w:tcPr>
            <w:tcW w:type="dxa" w:w="2350"/>
            <w:tcBorders>
              <w:top w:val="single" w:color="D9C3A8" w:sz="4"/>
              <w:left w:val="single" w:color="D9C3A8" w:sz="4"/>
              <w:bottom w:val="single" w:color="D9C3A8" w:sz="4"/>
              <w:right w:val="single" w:color="D9C3A8" w:sz="4"/>
            </w:tcBorders>
            <w:shd w:fill="4A2018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Dato verificado</w:t>
            </w:r>
          </w:p>
        </w:tc>
        <w:tc>
          <w:tcPr>
            <w:tcW w:type="dxa" w:w="2349"/>
            <w:tcBorders>
              <w:top w:val="single" w:color="D9C3A8" w:sz="4"/>
              <w:left w:val="single" w:color="D9C3A8" w:sz="4"/>
              <w:bottom w:val="single" w:color="D9C3A8" w:sz="4"/>
              <w:right w:val="single" w:color="D9C3A8" w:sz="4"/>
            </w:tcBorders>
            <w:shd w:fill="4A2018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Fuente y fecha</w:t>
            </w:r>
          </w:p>
        </w:tc>
      </w:tr>
      <w:tr>
        <w:trPr>
          <w:tblHeader w:val="false"/>
        </w:trPr>
        <w:tc>
          <w:tcPr>
            <w:tcW w:type="dxa" w:w="2311"/>
            <w:tcBorders>
              <w:top w:val="single" w:color="D9C3A8" w:sz="4"/>
              <w:left w:val="single" w:color="D9C3A8" w:sz="4"/>
              <w:bottom w:val="single" w:color="D9C3A8" w:sz="4"/>
              <w:right w:val="single" w:color="D9C3A8" w:sz="4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19"/>
                <w:szCs w:val="19"/>
              </w:rPr>
              <w:t xml:space="preserve">Inflación en Lima 4.28 % acumulada a setiembre de 2026</w:t>
            </w:r>
          </w:p>
        </w:tc>
        <w:tc>
          <w:tcPr>
            <w:tcW w:type="dxa" w:w="2350"/>
            <w:tcBorders>
              <w:top w:val="single" w:color="D9C3A8" w:sz="4"/>
              <w:left w:val="single" w:color="D9C3A8" w:sz="4"/>
              <w:bottom w:val="single" w:color="D9C3A8" w:sz="4"/>
              <w:right w:val="single" w:color="D9C3A8" w:sz="4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19"/>
                <w:szCs w:val="19"/>
              </w:rPr>
              <w:t xml:space="preserve">Sí, con precisión: es acumulada de enero a setiembre, no de 12 meses</w:t>
            </w:r>
          </w:p>
        </w:tc>
        <w:tc>
          <w:tcPr>
            <w:tcW w:type="dxa" w:w="2350"/>
            <w:tcBorders>
              <w:top w:val="single" w:color="D9C3A8" w:sz="4"/>
              <w:left w:val="single" w:color="D9C3A8" w:sz="4"/>
              <w:bottom w:val="single" w:color="D9C3A8" w:sz="4"/>
              <w:right w:val="single" w:color="D9C3A8" w:sz="4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19"/>
                <w:szCs w:val="19"/>
              </w:rPr>
              <w:t xml:space="preserve">Lima Metropolitana, setiembre de 2026: variación del mes 0.12 %; acumulada enero a setiembre 4.28 %; índice 120.86 (base dic. 2021 = 100). En 12 meses: unos 4.5 % (4.55 % según La Cámara; 4.5 % según el BCRP). El rango meta del BCRP es 1 % a 3 %</w:t>
            </w:r>
          </w:p>
        </w:tc>
        <w:tc>
          <w:tcPr>
            <w:tcW w:type="dxa" w:w="2349"/>
            <w:tcBorders>
              <w:top w:val="single" w:color="D9C3A8" w:sz="4"/>
              <w:left w:val="single" w:color="D9C3A8" w:sz="4"/>
              <w:bottom w:val="single" w:color="D9C3A8" w:sz="4"/>
              <w:right w:val="single" w:color="D9C3A8" w:sz="4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19"/>
                <w:szCs w:val="19"/>
              </w:rPr>
              <w:t xml:space="preserve">INEI, Resolución Jefatural N.° 209-2026-INEI, publicada en El Peruano el 1-oct-2026; La Cámara de Comercio de Lima, 2-oct-2026; nota de Infomercado sobre la decisión del BCRP, 9-oct-2026</w:t>
            </w:r>
          </w:p>
        </w:tc>
      </w:tr>
      <w:tr>
        <w:trPr>
          <w:tblHeader w:val="false"/>
        </w:trPr>
        <w:tc>
          <w:tcPr>
            <w:tcW w:type="dxa" w:w="2311"/>
            <w:tcBorders>
              <w:top w:val="single" w:color="D9C3A8" w:sz="4"/>
              <w:left w:val="single" w:color="D9C3A8" w:sz="4"/>
              <w:bottom w:val="single" w:color="D9C3A8" w:sz="4"/>
              <w:right w:val="single" w:color="D9C3A8" w:sz="4"/>
            </w:tcBorders>
            <w:shd w:fill="F7ECD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19"/>
                <w:szCs w:val="19"/>
              </w:rPr>
              <w:t xml:space="preserve">82.7 % de hogares limeños con internet, I trimestre de 2026</w:t>
            </w:r>
          </w:p>
        </w:tc>
        <w:tc>
          <w:tcPr>
            <w:tcW w:type="dxa" w:w="2350"/>
            <w:tcBorders>
              <w:top w:val="single" w:color="D9C3A8" w:sz="4"/>
              <w:left w:val="single" w:color="D9C3A8" w:sz="4"/>
              <w:bottom w:val="single" w:color="D9C3A8" w:sz="4"/>
              <w:right w:val="single" w:color="D9C3A8" w:sz="4"/>
            </w:tcBorders>
            <w:shd w:fill="F7ECD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19"/>
                <w:szCs w:val="19"/>
              </w:rPr>
              <w:t xml:space="preserve">Sí</w:t>
            </w:r>
          </w:p>
        </w:tc>
        <w:tc>
          <w:tcPr>
            <w:tcW w:type="dxa" w:w="2350"/>
            <w:tcBorders>
              <w:top w:val="single" w:color="D9C3A8" w:sz="4"/>
              <w:left w:val="single" w:color="D9C3A8" w:sz="4"/>
              <w:bottom w:val="single" w:color="D9C3A8" w:sz="4"/>
              <w:right w:val="single" w:color="D9C3A8" w:sz="4"/>
            </w:tcBorders>
            <w:shd w:fill="F7ECD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19"/>
                <w:szCs w:val="19"/>
              </w:rPr>
              <w:t xml:space="preserve">En Lima Metropolitana el acceso a internet en el hogar subió de 78.1 % a 82.7 % (4.6 puntos) entre el I trimestre de 2025 y el de 2026. A nivel nacional fue 62.7 %</w:t>
            </w:r>
          </w:p>
        </w:tc>
        <w:tc>
          <w:tcPr>
            <w:tcW w:type="dxa" w:w="2349"/>
            <w:tcBorders>
              <w:top w:val="single" w:color="D9C3A8" w:sz="4"/>
              <w:left w:val="single" w:color="D9C3A8" w:sz="4"/>
              <w:bottom w:val="single" w:color="D9C3A8" w:sz="4"/>
              <w:right w:val="single" w:color="D9C3A8" w:sz="4"/>
            </w:tcBorders>
            <w:shd w:fill="F7ECD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19"/>
                <w:szCs w:val="19"/>
              </w:rPr>
              <w:t xml:space="preserve">INEI, nota de prensa del 26-jun-2026, con datos de la ENAHO (Encuesta Nacional de Hogares), Estadísticas de las TIC</w:t>
            </w:r>
          </w:p>
        </w:tc>
      </w:tr>
    </w:tbl>
    <w:p>
      <w:pPr>
        <w:spacing w:after="80"/>
      </w:pPr>
    </w:p>
    <w:p>
      <w:pPr>
        <w:spacing w:after="120"/>
      </w:pPr>
      <w:r>
        <w:rPr>
          <w:b/>
          <w:bCs/>
        </w:rPr>
        <w:t xml:space="preserve">Cómo decirlo bien:</w:t>
      </w:r>
      <w:r>
        <w:t xml:space="preserve"> "4.28 %" es lo que subieron los precios de Lima de enero a setiembre de 2026. Si alguien lo lee como "inflación anual", se equivoca por unos 0.2 puntos. Conviene escribir siempre "acumulada de enero a setiembre de 2026".</w:t>
      </w:r>
    </w:p>
    <w:p>
      <w:pPr>
        <w:pStyle w:val="Heading2"/>
      </w:pPr>
      <w:r>
        <w:t xml:space="preserve">3.3 Coherencia con HECHOS_v7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rPr>
          <w:tblHeader/>
        </w:trPr>
        <w:tc>
          <w:tcPr>
            <w:tcW w:type="dxa" w:w="3120"/>
            <w:tcBorders>
              <w:top w:val="single" w:color="D9C3A8" w:sz="4"/>
              <w:left w:val="single" w:color="D9C3A8" w:sz="4"/>
              <w:bottom w:val="single" w:color="D9C3A8" w:sz="4"/>
              <w:right w:val="single" w:color="D9C3A8" w:sz="4"/>
            </w:tcBorders>
            <w:shd w:fill="4A2018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Qué dice el PESTEL</w:t>
            </w:r>
          </w:p>
        </w:tc>
        <w:tc>
          <w:tcPr>
            <w:tcW w:type="dxa" w:w="3120"/>
            <w:tcBorders>
              <w:top w:val="single" w:color="D9C3A8" w:sz="4"/>
              <w:left w:val="single" w:color="D9C3A8" w:sz="4"/>
              <w:bottom w:val="single" w:color="D9C3A8" w:sz="4"/>
              <w:right w:val="single" w:color="D9C3A8" w:sz="4"/>
            </w:tcBorders>
            <w:shd w:fill="4A2018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Qué dice HECHOS_v7</w:t>
            </w:r>
          </w:p>
        </w:tc>
        <w:tc>
          <w:tcPr>
            <w:tcW w:type="dxa" w:w="3120"/>
            <w:tcBorders>
              <w:top w:val="single" w:color="D9C3A8" w:sz="4"/>
              <w:left w:val="single" w:color="D9C3A8" w:sz="4"/>
              <w:bottom w:val="single" w:color="D9C3A8" w:sz="4"/>
              <w:right w:val="single" w:color="D9C3A8" w:sz="4"/>
            </w:tcBorders>
            <w:shd w:fill="4A2018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Corrección</w:t>
            </w:r>
          </w:p>
        </w:tc>
      </w:tr>
      <w:tr>
        <w:trPr>
          <w:tblHeader w:val="false"/>
        </w:trPr>
        <w:tc>
          <w:tcPr>
            <w:tcW w:type="dxa" w:w="3120"/>
            <w:tcBorders>
              <w:top w:val="single" w:color="D9C3A8" w:sz="4"/>
              <w:left w:val="single" w:color="D9C3A8" w:sz="4"/>
              <w:bottom w:val="single" w:color="D9C3A8" w:sz="4"/>
              <w:right w:val="single" w:color="D9C3A8" w:sz="4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19"/>
                <w:szCs w:val="19"/>
              </w:rPr>
              <w:t xml:space="preserve">Subtítulo: "mini brownies con sangrecita, cañihua y cacao"</w:t>
            </w:r>
          </w:p>
        </w:tc>
        <w:tc>
          <w:tcPr>
            <w:tcW w:type="dxa" w:w="3120"/>
            <w:tcBorders>
              <w:top w:val="single" w:color="D9C3A8" w:sz="4"/>
              <w:left w:val="single" w:color="D9C3A8" w:sz="4"/>
              <w:bottom w:val="single" w:color="D9C3A8" w:sz="4"/>
              <w:right w:val="single" w:color="D9C3A8" w:sz="4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19"/>
                <w:szCs w:val="19"/>
              </w:rPr>
              <w:t xml:space="preserve">La cañihua va solo en el sabor Andi. Chispa es choco clásico con chispas; Lúcu es choco y lúcuma</w:t>
            </w:r>
          </w:p>
        </w:tc>
        <w:tc>
          <w:tcPr>
            <w:tcW w:type="dxa" w:w="3120"/>
            <w:tcBorders>
              <w:top w:val="single" w:color="D9C3A8" w:sz="4"/>
              <w:left w:val="single" w:color="D9C3A8" w:sz="4"/>
              <w:bottom w:val="single" w:color="D9C3A8" w:sz="4"/>
              <w:right w:val="single" w:color="D9C3A8" w:sz="4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19"/>
                <w:szCs w:val="19"/>
              </w:rPr>
              <w:t xml:space="preserve">Quitar la cañihua del subtítulo general y mencionarla solo para el sabor Andi</w:t>
            </w:r>
          </w:p>
        </w:tc>
      </w:tr>
      <w:tr>
        <w:trPr>
          <w:tblHeader w:val="false"/>
        </w:trPr>
        <w:tc>
          <w:tcPr>
            <w:tcW w:type="dxa" w:w="3120"/>
            <w:tcBorders>
              <w:top w:val="single" w:color="D9C3A8" w:sz="4"/>
              <w:left w:val="single" w:color="D9C3A8" w:sz="4"/>
              <w:bottom w:val="single" w:color="D9C3A8" w:sz="4"/>
              <w:right w:val="single" w:color="D9C3A8" w:sz="4"/>
            </w:tcBorders>
            <w:shd w:fill="F7ECD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19"/>
                <w:szCs w:val="19"/>
              </w:rPr>
              <w:t xml:space="preserve">A1: "clima y cacao o cañihua (Amenaza)"</w:t>
            </w:r>
          </w:p>
        </w:tc>
        <w:tc>
          <w:tcPr>
            <w:tcW w:type="dxa" w:w="3120"/>
            <w:tcBorders>
              <w:top w:val="single" w:color="D9C3A8" w:sz="4"/>
              <w:left w:val="single" w:color="D9C3A8" w:sz="4"/>
              <w:bottom w:val="single" w:color="D9C3A8" w:sz="4"/>
              <w:right w:val="single" w:color="D9C3A8" w:sz="4"/>
            </w:tcBorders>
            <w:shd w:fill="F7ECD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19"/>
                <w:szCs w:val="19"/>
              </w:rPr>
              <w:t xml:space="preserve">El riesgo de cañihua afecta a un solo sabor</w:t>
            </w:r>
          </w:p>
        </w:tc>
        <w:tc>
          <w:tcPr>
            <w:tcW w:type="dxa" w:w="3120"/>
            <w:tcBorders>
              <w:top w:val="single" w:color="D9C3A8" w:sz="4"/>
              <w:left w:val="single" w:color="D9C3A8" w:sz="4"/>
              <w:bottom w:val="single" w:color="D9C3A8" w:sz="4"/>
              <w:right w:val="single" w:color="D9C3A8" w:sz="4"/>
            </w:tcBorders>
            <w:shd w:fill="F7ECD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19"/>
                <w:szCs w:val="19"/>
              </w:rPr>
              <w:t xml:space="preserve">Separar: el cacao afecta a los 3 sabores; la cañihua, solo a Andi</w:t>
            </w:r>
          </w:p>
        </w:tc>
      </w:tr>
      <w:tr>
        <w:trPr>
          <w:tblHeader w:val="false"/>
        </w:trPr>
        <w:tc>
          <w:tcPr>
            <w:tcW w:type="dxa" w:w="3120"/>
            <w:tcBorders>
              <w:top w:val="single" w:color="D9C3A8" w:sz="4"/>
              <w:left w:val="single" w:color="D9C3A8" w:sz="4"/>
              <w:bottom w:val="single" w:color="D9C3A8" w:sz="4"/>
              <w:right w:val="single" w:color="D9C3A8" w:sz="4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19"/>
                <w:szCs w:val="19"/>
              </w:rPr>
              <w:t xml:space="preserve">T3: "Ventas y atención digital mediante redes y mensajería (Oportunidad)" y la matriz "digitalización de ventas"</w:t>
            </w:r>
          </w:p>
        </w:tc>
        <w:tc>
          <w:tcPr>
            <w:tcW w:type="dxa" w:w="3120"/>
            <w:tcBorders>
              <w:top w:val="single" w:color="D9C3A8" w:sz="4"/>
              <w:left w:val="single" w:color="D9C3A8" w:sz="4"/>
              <w:bottom w:val="single" w:color="D9C3A8" w:sz="4"/>
              <w:right w:val="single" w:color="D9C3A8" w:sz="4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19"/>
                <w:szCs w:val="19"/>
              </w:rPr>
              <w:t xml:space="preserve">Canal principal: venta física (stands, ferias, eventos, colegios, naturistas). WhatsApp es solo para recompra, con entregas agrupadas 2 días por semana o recojo en el stand. Las redes se usan para pauta y contacto</w:t>
            </w:r>
          </w:p>
        </w:tc>
        <w:tc>
          <w:tcPr>
            <w:tcW w:type="dxa" w:w="3120"/>
            <w:tcBorders>
              <w:top w:val="single" w:color="D9C3A8" w:sz="4"/>
              <w:left w:val="single" w:color="D9C3A8" w:sz="4"/>
              <w:bottom w:val="single" w:color="D9C3A8" w:sz="4"/>
              <w:right w:val="single" w:color="D9C3A8" w:sz="4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19"/>
                <w:szCs w:val="19"/>
              </w:rPr>
              <w:t xml:space="preserve">Cambiar el texto a "Recompra y atención por WhatsApp, QR en el envase y redes para llegar al stand". No decir "ventas digitales"</w:t>
            </w:r>
          </w:p>
        </w:tc>
      </w:tr>
      <w:tr>
        <w:trPr>
          <w:tblHeader w:val="false"/>
        </w:trPr>
        <w:tc>
          <w:tcPr>
            <w:tcW w:type="dxa" w:w="3120"/>
            <w:tcBorders>
              <w:top w:val="single" w:color="D9C3A8" w:sz="4"/>
              <w:left w:val="single" w:color="D9C3A8" w:sz="4"/>
              <w:bottom w:val="single" w:color="D9C3A8" w:sz="4"/>
              <w:right w:val="single" w:color="D9C3A8" w:sz="4"/>
            </w:tcBorders>
            <w:shd w:fill="F7ECD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19"/>
                <w:szCs w:val="19"/>
              </w:rPr>
              <w:t xml:space="preserve">L2: "Etiquetado y octógonos según composición final (Amenaza)" y matriz "L2 octógonos (Amenaza)"</w:t>
            </w:r>
          </w:p>
        </w:tc>
        <w:tc>
          <w:tcPr>
            <w:tcW w:type="dxa" w:w="3120"/>
            <w:tcBorders>
              <w:top w:val="single" w:color="D9C3A8" w:sz="4"/>
              <w:left w:val="single" w:color="D9C3A8" w:sz="4"/>
              <w:bottom w:val="single" w:color="D9C3A8" w:sz="4"/>
              <w:right w:val="single" w:color="D9C3A8" w:sz="4"/>
            </w:tcBorders>
            <w:shd w:fill="F7ECD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19"/>
                <w:szCs w:val="19"/>
              </w:rPr>
              <w:t xml:space="preserve">La meta es "sin octógono" y se confirma en laboratorio [POR CONFIRMAR]</w:t>
            </w:r>
          </w:p>
        </w:tc>
        <w:tc>
          <w:tcPr>
            <w:tcW w:type="dxa" w:w="3120"/>
            <w:tcBorders>
              <w:top w:val="single" w:color="D9C3A8" w:sz="4"/>
              <w:left w:val="single" w:color="D9C3A8" w:sz="4"/>
              <w:bottom w:val="single" w:color="D9C3A8" w:sz="4"/>
              <w:right w:val="single" w:color="D9C3A8" w:sz="4"/>
            </w:tcBorders>
            <w:shd w:fill="F7ECD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19"/>
                <w:szCs w:val="19"/>
              </w:rPr>
              <w:t xml:space="preserve">Escribirlo como "meta sin octógono por confirmar". Ver el aviso del azúcar abajo</w:t>
            </w:r>
          </w:p>
        </w:tc>
      </w:tr>
      <w:tr>
        <w:trPr>
          <w:tblHeader w:val="false"/>
        </w:trPr>
        <w:tc>
          <w:tcPr>
            <w:tcW w:type="dxa" w:w="3120"/>
            <w:tcBorders>
              <w:top w:val="single" w:color="D9C3A8" w:sz="4"/>
              <w:left w:val="single" w:color="D9C3A8" w:sz="4"/>
              <w:bottom w:val="single" w:color="D9C3A8" w:sz="4"/>
              <w:right w:val="single" w:color="D9C3A8" w:sz="4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19"/>
                <w:szCs w:val="19"/>
              </w:rPr>
              <w:t xml:space="preserve">P2: "Programas y criterios de alimentación saludable escolar (Ambas)"</w:t>
            </w:r>
          </w:p>
        </w:tc>
        <w:tc>
          <w:tcPr>
            <w:tcW w:type="dxa" w:w="3120"/>
            <w:tcBorders>
              <w:top w:val="single" w:color="D9C3A8" w:sz="4"/>
              <w:left w:val="single" w:color="D9C3A8" w:sz="4"/>
              <w:bottom w:val="single" w:color="D9C3A8" w:sz="4"/>
              <w:right w:val="single" w:color="D9C3A8" w:sz="4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19"/>
                <w:szCs w:val="19"/>
              </w:rPr>
              <w:t xml:space="preserve">Los colegios empiezan en marzo y solo con productos sin octógonos</w:t>
            </w:r>
          </w:p>
        </w:tc>
        <w:tc>
          <w:tcPr>
            <w:tcW w:type="dxa" w:w="3120"/>
            <w:tcBorders>
              <w:top w:val="single" w:color="D9C3A8" w:sz="4"/>
              <w:left w:val="single" w:color="D9C3A8" w:sz="4"/>
              <w:bottom w:val="single" w:color="D9C3A8" w:sz="4"/>
              <w:right w:val="single" w:color="D9C3A8" w:sz="4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19"/>
                <w:szCs w:val="19"/>
              </w:rPr>
              <w:t xml:space="preserve">Es una oportunidad condicionada: depende del octógono. Ver sección 3.5</w:t>
            </w:r>
          </w:p>
        </w:tc>
      </w:tr>
      <w:tr>
        <w:trPr>
          <w:tblHeader w:val="false"/>
        </w:trPr>
        <w:tc>
          <w:tcPr>
            <w:tcW w:type="dxa" w:w="3120"/>
            <w:tcBorders>
              <w:top w:val="single" w:color="D9C3A8" w:sz="4"/>
              <w:left w:val="single" w:color="D9C3A8" w:sz="4"/>
              <w:bottom w:val="single" w:color="D9C3A8" w:sz="4"/>
              <w:right w:val="single" w:color="D9C3A8" w:sz="4"/>
            </w:tcBorders>
            <w:shd w:fill="F7ECD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19"/>
                <w:szCs w:val="19"/>
              </w:rPr>
              <w:t xml:space="preserve">P1: "alimentos con aporte nutricional comprobado"</w:t>
            </w:r>
          </w:p>
        </w:tc>
        <w:tc>
          <w:tcPr>
            <w:tcW w:type="dxa" w:w="3120"/>
            <w:tcBorders>
              <w:top w:val="single" w:color="D9C3A8" w:sz="4"/>
              <w:left w:val="single" w:color="D9C3A8" w:sz="4"/>
              <w:bottom w:val="single" w:color="D9C3A8" w:sz="4"/>
              <w:right w:val="single" w:color="D9C3A8" w:sz="4"/>
            </w:tcBorders>
            <w:shd w:fill="F7ECD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19"/>
                <w:szCs w:val="19"/>
              </w:rPr>
              <w:t xml:space="preserve">No se dice "previene la anemia" (riesgo de publicidad engañosa). AndiBite "contribuye"</w:t>
            </w:r>
          </w:p>
        </w:tc>
        <w:tc>
          <w:tcPr>
            <w:tcW w:type="dxa" w:w="3120"/>
            <w:tcBorders>
              <w:top w:val="single" w:color="D9C3A8" w:sz="4"/>
              <w:left w:val="single" w:color="D9C3A8" w:sz="4"/>
              <w:bottom w:val="single" w:color="D9C3A8" w:sz="4"/>
              <w:right w:val="single" w:color="D9C3A8" w:sz="4"/>
            </w:tcBorders>
            <w:shd w:fill="F7ECD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19"/>
                <w:szCs w:val="19"/>
              </w:rPr>
              <w:t xml:space="preserve">Cambiar por "hierro medido por lote" y "contribuye"</w:t>
            </w:r>
          </w:p>
        </w:tc>
      </w:tr>
      <w:tr>
        <w:trPr>
          <w:tblHeader w:val="false"/>
        </w:trPr>
        <w:tc>
          <w:tcPr>
            <w:tcW w:type="dxa" w:w="3120"/>
            <w:tcBorders>
              <w:top w:val="single" w:color="D9C3A8" w:sz="4"/>
              <w:left w:val="single" w:color="D9C3A8" w:sz="4"/>
              <w:bottom w:val="single" w:color="D9C3A8" w:sz="4"/>
              <w:right w:val="single" w:color="D9C3A8" w:sz="4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19"/>
                <w:szCs w:val="19"/>
              </w:rPr>
              <w:t xml:space="preserve">E3: "Poder adquisitivo y gasto de los hogares limeños" sin distinguir</w:t>
            </w:r>
          </w:p>
        </w:tc>
        <w:tc>
          <w:tcPr>
            <w:tcW w:type="dxa" w:w="3120"/>
            <w:tcBorders>
              <w:top w:val="single" w:color="D9C3A8" w:sz="4"/>
              <w:left w:val="single" w:color="D9C3A8" w:sz="4"/>
              <w:bottom w:val="single" w:color="D9C3A8" w:sz="4"/>
              <w:right w:val="single" w:color="D9C3A8" w:sz="4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19"/>
                <w:szCs w:val="19"/>
              </w:rPr>
              <w:t xml:space="preserve">Público A y B con esfuerzo parejo (unos 7 de cada 10 hogares A/B son B)</w:t>
            </w:r>
          </w:p>
        </w:tc>
        <w:tc>
          <w:tcPr>
            <w:tcW w:type="dxa" w:w="3120"/>
            <w:tcBorders>
              <w:top w:val="single" w:color="D9C3A8" w:sz="4"/>
              <w:left w:val="single" w:color="D9C3A8" w:sz="4"/>
              <w:bottom w:val="single" w:color="D9C3A8" w:sz="4"/>
              <w:right w:val="single" w:color="D9C3A8" w:sz="4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19"/>
                <w:szCs w:val="19"/>
              </w:rPr>
              <w:t xml:space="preserve">Separar en A y B, con los ingresos de APEIM 2025 que ya están en HECHOS_v7</w:t>
            </w:r>
          </w:p>
        </w:tc>
      </w:tr>
      <w:tr>
        <w:trPr>
          <w:tblHeader w:val="false"/>
        </w:trPr>
        <w:tc>
          <w:tcPr>
            <w:tcW w:type="dxa" w:w="3120"/>
            <w:tcBorders>
              <w:top w:val="single" w:color="D9C3A8" w:sz="4"/>
              <w:left w:val="single" w:color="D9C3A8" w:sz="4"/>
              <w:bottom w:val="single" w:color="D9C3A8" w:sz="4"/>
              <w:right w:val="single" w:color="D9C3A8" w:sz="4"/>
            </w:tcBorders>
            <w:shd w:fill="F7ECD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19"/>
                <w:szCs w:val="19"/>
              </w:rPr>
              <w:t xml:space="preserve">Resumen: L3 incluye "protección de datos"; matriz: L4 es "tributos y datos personales"</w:t>
            </w:r>
          </w:p>
        </w:tc>
        <w:tc>
          <w:tcPr>
            <w:tcW w:type="dxa" w:w="3120"/>
            <w:tcBorders>
              <w:top w:val="single" w:color="D9C3A8" w:sz="4"/>
              <w:left w:val="single" w:color="D9C3A8" w:sz="4"/>
              <w:bottom w:val="single" w:color="D9C3A8" w:sz="4"/>
              <w:right w:val="single" w:color="D9C3A8" w:sz="4"/>
            </w:tcBorders>
            <w:shd w:fill="F7ECD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19"/>
                <w:szCs w:val="19"/>
              </w:rPr>
              <w:t xml:space="preserve">Es el mismo tema en dos lugares</w:t>
            </w:r>
          </w:p>
        </w:tc>
        <w:tc>
          <w:tcPr>
            <w:tcW w:type="dxa" w:w="3120"/>
            <w:tcBorders>
              <w:top w:val="single" w:color="D9C3A8" w:sz="4"/>
              <w:left w:val="single" w:color="D9C3A8" w:sz="4"/>
              <w:bottom w:val="single" w:color="D9C3A8" w:sz="4"/>
              <w:right w:val="single" w:color="D9C3A8" w:sz="4"/>
            </w:tcBorders>
            <w:shd w:fill="F7ECD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19"/>
                <w:szCs w:val="19"/>
              </w:rPr>
              <w:t xml:space="preserve">Elegir uno. Propuesta: L3 = publicidad y declaraciones nutricionales; L4 = tributos; y los datos personales (Ley 29733) como parte de L3 o L4, pero en un solo lugar</w:t>
            </w:r>
          </w:p>
        </w:tc>
      </w:tr>
      <w:tr>
        <w:trPr>
          <w:tblHeader w:val="false"/>
        </w:trPr>
        <w:tc>
          <w:tcPr>
            <w:tcW w:type="dxa" w:w="3120"/>
            <w:tcBorders>
              <w:top w:val="single" w:color="D9C3A8" w:sz="4"/>
              <w:left w:val="single" w:color="D9C3A8" w:sz="4"/>
              <w:bottom w:val="single" w:color="D9C3A8" w:sz="4"/>
              <w:right w:val="single" w:color="D9C3A8" w:sz="4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19"/>
                <w:szCs w:val="19"/>
              </w:rPr>
              <w:t xml:space="preserve">Dimensión "E (ecológico)" y en la matriz "A1, A2, A3"</w:t>
            </w:r>
          </w:p>
        </w:tc>
        <w:tc>
          <w:tcPr>
            <w:tcW w:type="dxa" w:w="3120"/>
            <w:tcBorders>
              <w:top w:val="single" w:color="D9C3A8" w:sz="4"/>
              <w:left w:val="single" w:color="D9C3A8" w:sz="4"/>
              <w:bottom w:val="single" w:color="D9C3A8" w:sz="4"/>
              <w:right w:val="single" w:color="D9C3A8" w:sz="4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19"/>
                <w:szCs w:val="19"/>
              </w:rPr>
              <w:t xml:space="preserve">Es la misma dimensión con dos nombres</w:t>
            </w:r>
          </w:p>
        </w:tc>
        <w:tc>
          <w:tcPr>
            <w:tcW w:type="dxa" w:w="3120"/>
            <w:tcBorders>
              <w:top w:val="single" w:color="D9C3A8" w:sz="4"/>
              <w:left w:val="single" w:color="D9C3A8" w:sz="4"/>
              <w:bottom w:val="single" w:color="D9C3A8" w:sz="4"/>
              <w:right w:val="single" w:color="D9C3A8" w:sz="4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19"/>
                <w:szCs w:val="19"/>
              </w:rPr>
              <w:t xml:space="preserve">Llamarla "A (ambiental)" en las dos partes</w:t>
            </w:r>
          </w:p>
        </w:tc>
      </w:tr>
    </w:tbl>
    <w:p>
      <w:pPr>
        <w:spacing w:after="80"/>
      </w:pPr>
    </w:p>
    <w:p>
      <w:pPr>
        <w:spacing w:after="120"/>
      </w:pPr>
      <w:r>
        <w:rPr>
          <w:b/>
          <w:bCs/>
        </w:rPr>
        <w:t xml:space="preserve">Aviso sobre los octógonos.</w:t>
      </w:r>
      <w:r>
        <w:t xml:space="preserve"> Un sólido lleva el octógono "alto en azúcares" desde 10 g de azúcar total por 100 g. La meta "sin octógono" es una meta de reformulación, no un hecho: con la receta reformulada (con eritritol), la T1 calcula de 4.6 a 7.1 g por 100 g, bajo el límite, y falta confirmarlo en laboratorio [POR CONFIRMAR]. El documento 03 conserva un cálculo viejo de unos 14 g: no se usa (HECHOS_v7). El PESTEL debe decir "meta sin octógono por confirmar".</w:t>
      </w:r>
    </w:p>
    <w:p>
      <w:pPr>
        <w:pStyle w:val="Heading2"/>
      </w:pPr>
      <w:r>
        <w:t xml:space="preserve">3.4 Un dato con fuente para cada variable</w:t>
      </w:r>
    </w:p>
    <w:p>
      <w:pPr>
        <w:spacing w:after="120"/>
      </w:pPr>
      <w:r>
        <w:t xml:space="preserve">Los datos van con su fuente y fecha. Si una cifra no se pudo verificar, dice [POR CONFIRMAR]. Los enlaces están en la sección Fuentes.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69"/>
        <w:gridCol w:w="3445"/>
        <w:gridCol w:w="3446"/>
      </w:tblGrid>
      <w:tr>
        <w:trPr>
          <w:tblHeader/>
        </w:trPr>
        <w:tc>
          <w:tcPr>
            <w:tcW w:type="dxa" w:w="2469"/>
            <w:tcBorders>
              <w:top w:val="single" w:color="D9C3A8" w:sz="4"/>
              <w:left w:val="single" w:color="D9C3A8" w:sz="4"/>
              <w:bottom w:val="single" w:color="D9C3A8" w:sz="4"/>
              <w:right w:val="single" w:color="D9C3A8" w:sz="4"/>
            </w:tcBorders>
            <w:shd w:fill="4A2018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Variable</w:t>
            </w:r>
          </w:p>
        </w:tc>
        <w:tc>
          <w:tcPr>
            <w:tcW w:type="dxa" w:w="3445"/>
            <w:tcBorders>
              <w:top w:val="single" w:color="D9C3A8" w:sz="4"/>
              <w:left w:val="single" w:color="D9C3A8" w:sz="4"/>
              <w:bottom w:val="single" w:color="D9C3A8" w:sz="4"/>
              <w:right w:val="single" w:color="D9C3A8" w:sz="4"/>
            </w:tcBorders>
            <w:shd w:fill="4A2018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Dato propuesto</w:t>
            </w:r>
          </w:p>
        </w:tc>
        <w:tc>
          <w:tcPr>
            <w:tcW w:type="dxa" w:w="3446"/>
            <w:tcBorders>
              <w:top w:val="single" w:color="D9C3A8" w:sz="4"/>
              <w:left w:val="single" w:color="D9C3A8" w:sz="4"/>
              <w:bottom w:val="single" w:color="D9C3A8" w:sz="4"/>
              <w:right w:val="single" w:color="D9C3A8" w:sz="4"/>
            </w:tcBorders>
            <w:shd w:fill="4A2018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Fuente y fecha</w:t>
            </w:r>
          </w:p>
        </w:tc>
      </w:tr>
      <w:tr>
        <w:trPr>
          <w:tblHeader w:val="false"/>
        </w:trPr>
        <w:tc>
          <w:tcPr>
            <w:tcW w:type="dxa" w:w="2469"/>
            <w:tcBorders>
              <w:top w:val="single" w:color="D9C3A8" w:sz="4"/>
              <w:left w:val="single" w:color="D9C3A8" w:sz="4"/>
              <w:bottom w:val="single" w:color="D9C3A8" w:sz="4"/>
              <w:right w:val="single" w:color="D9C3A8" w:sz="4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19"/>
                <w:szCs w:val="19"/>
              </w:rPr>
              <w:t xml:space="preserve">P1 Políticas de anemia</w:t>
            </w:r>
          </w:p>
        </w:tc>
        <w:tc>
          <w:tcPr>
            <w:tcW w:type="dxa" w:w="3445"/>
            <w:tcBorders>
              <w:top w:val="single" w:color="D9C3A8" w:sz="4"/>
              <w:left w:val="single" w:color="D9C3A8" w:sz="4"/>
              <w:bottom w:val="single" w:color="D9C3A8" w:sz="4"/>
              <w:right w:val="single" w:color="D9C3A8" w:sz="4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19"/>
                <w:szCs w:val="19"/>
              </w:rPr>
              <w:t xml:space="preserve">Plan Multisectorial para la Prevención y Reducción de la Anemia Materno Infantil 2024-2030, aprobado por el D.S. 002-2024-SA. Parte de 43.6 % de anemia en niños de 6 a 35 meses (ENDES, primer semestre de 2023, con el criterio anterior de la OMS)</w:t>
            </w:r>
          </w:p>
        </w:tc>
        <w:tc>
          <w:tcPr>
            <w:tcW w:type="dxa" w:w="3446"/>
            <w:tcBorders>
              <w:top w:val="single" w:color="D9C3A8" w:sz="4"/>
              <w:left w:val="single" w:color="D9C3A8" w:sz="4"/>
              <w:bottom w:val="single" w:color="D9C3A8" w:sz="4"/>
              <w:right w:val="single" w:color="D9C3A8" w:sz="4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19"/>
                <w:szCs w:val="19"/>
              </w:rPr>
              <w:t xml:space="preserve">El Peruano, 24-ene-2024</w:t>
            </w:r>
          </w:p>
        </w:tc>
      </w:tr>
      <w:tr>
        <w:trPr>
          <w:tblHeader w:val="false"/>
        </w:trPr>
        <w:tc>
          <w:tcPr>
            <w:tcW w:type="dxa" w:w="2469"/>
            <w:tcBorders>
              <w:top w:val="single" w:color="D9C3A8" w:sz="4"/>
              <w:left w:val="single" w:color="D9C3A8" w:sz="4"/>
              <w:bottom w:val="single" w:color="D9C3A8" w:sz="4"/>
              <w:right w:val="single" w:color="D9C3A8" w:sz="4"/>
            </w:tcBorders>
            <w:shd w:fill="F7ECD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19"/>
                <w:szCs w:val="19"/>
              </w:rPr>
              <w:t xml:space="preserve">P1 (situación actual)</w:t>
            </w:r>
          </w:p>
        </w:tc>
        <w:tc>
          <w:tcPr>
            <w:tcW w:type="dxa" w:w="3445"/>
            <w:tcBorders>
              <w:top w:val="single" w:color="D9C3A8" w:sz="4"/>
              <w:left w:val="single" w:color="D9C3A8" w:sz="4"/>
              <w:bottom w:val="single" w:color="D9C3A8" w:sz="4"/>
              <w:right w:val="single" w:color="D9C3A8" w:sz="4"/>
            </w:tcBorders>
            <w:shd w:fill="F7ECD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19"/>
                <w:szCs w:val="19"/>
              </w:rPr>
              <w:t xml:space="preserve">La anemia afectó al 34.9 % de los niños de 6 a 35 meses del Perú en 2025, criterio OMS 2024 (rural 43.2 %, urbana 31.5 %). El 38.7 % consumió suplemento de hierro, 4.9 puntos más que en 2024</w:t>
            </w:r>
          </w:p>
        </w:tc>
        <w:tc>
          <w:tcPr>
            <w:tcW w:type="dxa" w:w="3446"/>
            <w:tcBorders>
              <w:top w:val="single" w:color="D9C3A8" w:sz="4"/>
              <w:left w:val="single" w:color="D9C3A8" w:sz="4"/>
              <w:bottom w:val="single" w:color="D9C3A8" w:sz="4"/>
              <w:right w:val="single" w:color="D9C3A8" w:sz="4"/>
            </w:tcBorders>
            <w:shd w:fill="F7ECD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19"/>
                <w:szCs w:val="19"/>
              </w:rPr>
              <w:t xml:space="preserve">INEI, ENDES 2025, nota del 16-may-2026</w:t>
            </w:r>
          </w:p>
        </w:tc>
      </w:tr>
      <w:tr>
        <w:trPr>
          <w:tblHeader w:val="false"/>
        </w:trPr>
        <w:tc>
          <w:tcPr>
            <w:tcW w:type="dxa" w:w="2469"/>
            <w:tcBorders>
              <w:top w:val="single" w:color="D9C3A8" w:sz="4"/>
              <w:left w:val="single" w:color="D9C3A8" w:sz="4"/>
              <w:bottom w:val="single" w:color="D9C3A8" w:sz="4"/>
              <w:right w:val="single" w:color="D9C3A8" w:sz="4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19"/>
                <w:szCs w:val="19"/>
              </w:rPr>
              <w:t xml:space="preserve">P2 Alimentación saludable escolar</w:t>
            </w:r>
          </w:p>
        </w:tc>
        <w:tc>
          <w:tcPr>
            <w:tcW w:type="dxa" w:w="3445"/>
            <w:tcBorders>
              <w:top w:val="single" w:color="D9C3A8" w:sz="4"/>
              <w:left w:val="single" w:color="D9C3A8" w:sz="4"/>
              <w:bottom w:val="single" w:color="D9C3A8" w:sz="4"/>
              <w:right w:val="single" w:color="D9C3A8" w:sz="4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19"/>
                <w:szCs w:val="19"/>
              </w:rPr>
              <w:t xml:space="preserve">Los lineamientos del MINSA (RM 195-2019/MINSA) impiden vender en quioscos y comedores escolares los alimentos que superan los límites de azúcar, sodio, grasas saturadas y grasas trans de la Ley 30021</w:t>
            </w:r>
          </w:p>
        </w:tc>
        <w:tc>
          <w:tcPr>
            <w:tcW w:type="dxa" w:w="3446"/>
            <w:tcBorders>
              <w:top w:val="single" w:color="D9C3A8" w:sz="4"/>
              <w:left w:val="single" w:color="D9C3A8" w:sz="4"/>
              <w:bottom w:val="single" w:color="D9C3A8" w:sz="4"/>
              <w:right w:val="single" w:color="D9C3A8" w:sz="4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19"/>
                <w:szCs w:val="19"/>
              </w:rPr>
              <w:t xml:space="preserve">Andina, 5-mar-2019; MINSA. Vigencia actual [POR CONFIRMAR]</w:t>
            </w:r>
          </w:p>
        </w:tc>
      </w:tr>
      <w:tr>
        <w:trPr>
          <w:tblHeader w:val="false"/>
        </w:trPr>
        <w:tc>
          <w:tcPr>
            <w:tcW w:type="dxa" w:w="2469"/>
            <w:tcBorders>
              <w:top w:val="single" w:color="D9C3A8" w:sz="4"/>
              <w:left w:val="single" w:color="D9C3A8" w:sz="4"/>
              <w:bottom w:val="single" w:color="D9C3A8" w:sz="4"/>
              <w:right w:val="single" w:color="D9C3A8" w:sz="4"/>
            </w:tcBorders>
            <w:shd w:fill="F7ECD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19"/>
                <w:szCs w:val="19"/>
              </w:rPr>
              <w:t xml:space="preserve">P3 Apoyo a mypes</w:t>
            </w:r>
          </w:p>
        </w:tc>
        <w:tc>
          <w:tcPr>
            <w:tcW w:type="dxa" w:w="3445"/>
            <w:tcBorders>
              <w:top w:val="single" w:color="D9C3A8" w:sz="4"/>
              <w:left w:val="single" w:color="D9C3A8" w:sz="4"/>
              <w:bottom w:val="single" w:color="D9C3A8" w:sz="4"/>
              <w:right w:val="single" w:color="D9C3A8" w:sz="4"/>
            </w:tcBorders>
            <w:shd w:fill="F7ECD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19"/>
                <w:szCs w:val="19"/>
              </w:rPr>
              <w:t xml:space="preserve">PRODUCE financiará 4 ferias "Perú Produce" (Lima, Ucayali, Cusco y Lambayeque) del 11 al 16 de noviembre de 2026, con mypes seleccionadas, incluidas las asistidas por el ITP y ProInnóvate. Requisitos aún sin anunciar. La inscripción en el REMYPE (registro de la micro y pequeña empresa) es gratuita y da descuentos en INDECOPI</w:t>
            </w:r>
          </w:p>
        </w:tc>
        <w:tc>
          <w:tcPr>
            <w:tcW w:type="dxa" w:w="3446"/>
            <w:tcBorders>
              <w:top w:val="single" w:color="D9C3A8" w:sz="4"/>
              <w:left w:val="single" w:color="D9C3A8" w:sz="4"/>
              <w:bottom w:val="single" w:color="D9C3A8" w:sz="4"/>
              <w:right w:val="single" w:color="D9C3A8" w:sz="4"/>
            </w:tcBorders>
            <w:shd w:fill="F7ECD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19"/>
                <w:szCs w:val="19"/>
              </w:rPr>
              <w:t xml:space="preserve">Agraria.pe, 23-sep-2026; documento 03 de AndiBite</w:t>
            </w:r>
          </w:p>
        </w:tc>
      </w:tr>
      <w:tr>
        <w:trPr>
          <w:tblHeader w:val="false"/>
        </w:trPr>
        <w:tc>
          <w:tcPr>
            <w:tcW w:type="dxa" w:w="2469"/>
            <w:tcBorders>
              <w:top w:val="single" w:color="D9C3A8" w:sz="4"/>
              <w:left w:val="single" w:color="D9C3A8" w:sz="4"/>
              <w:bottom w:val="single" w:color="D9C3A8" w:sz="4"/>
              <w:right w:val="single" w:color="D9C3A8" w:sz="4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19"/>
                <w:szCs w:val="19"/>
              </w:rPr>
              <w:t xml:space="preserve">E1 Inflación</w:t>
            </w:r>
          </w:p>
        </w:tc>
        <w:tc>
          <w:tcPr>
            <w:tcW w:type="dxa" w:w="3445"/>
            <w:tcBorders>
              <w:top w:val="single" w:color="D9C3A8" w:sz="4"/>
              <w:left w:val="single" w:color="D9C3A8" w:sz="4"/>
              <w:bottom w:val="single" w:color="D9C3A8" w:sz="4"/>
              <w:right w:val="single" w:color="D9C3A8" w:sz="4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19"/>
                <w:szCs w:val="19"/>
              </w:rPr>
              <w:t xml:space="preserve">4.28 % acumulada de enero a setiembre de 2026 en Lima; unos 4.5 % en 12 meses, sobre el rango meta de 1 % a 3 %. En setiembre, alimentos y bebidas no alcohólicas bajaron 0.07 % y el alza del mes vino del transporte por los combustibles</w:t>
            </w:r>
          </w:p>
        </w:tc>
        <w:tc>
          <w:tcPr>
            <w:tcW w:type="dxa" w:w="3446"/>
            <w:tcBorders>
              <w:top w:val="single" w:color="D9C3A8" w:sz="4"/>
              <w:left w:val="single" w:color="D9C3A8" w:sz="4"/>
              <w:bottom w:val="single" w:color="D9C3A8" w:sz="4"/>
              <w:right w:val="single" w:color="D9C3A8" w:sz="4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19"/>
                <w:szCs w:val="19"/>
              </w:rPr>
              <w:t xml:space="preserve">INEI (El Peruano, 1-oct-2026); La Cámara, 2-oct-2026; BCRP vía Infomercado, 9-oct-2026</w:t>
            </w:r>
          </w:p>
        </w:tc>
      </w:tr>
      <w:tr>
        <w:trPr>
          <w:tblHeader w:val="false"/>
        </w:trPr>
        <w:tc>
          <w:tcPr>
            <w:tcW w:type="dxa" w:w="2469"/>
            <w:tcBorders>
              <w:top w:val="single" w:color="D9C3A8" w:sz="4"/>
              <w:left w:val="single" w:color="D9C3A8" w:sz="4"/>
              <w:bottom w:val="single" w:color="D9C3A8" w:sz="4"/>
              <w:right w:val="single" w:color="D9C3A8" w:sz="4"/>
            </w:tcBorders>
            <w:shd w:fill="F7ECD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19"/>
                <w:szCs w:val="19"/>
              </w:rPr>
              <w:t xml:space="preserve">E2 Cacao y otros insumos</w:t>
            </w:r>
          </w:p>
        </w:tc>
        <w:tc>
          <w:tcPr>
            <w:tcW w:type="dxa" w:w="3445"/>
            <w:tcBorders>
              <w:top w:val="single" w:color="D9C3A8" w:sz="4"/>
              <w:left w:val="single" w:color="D9C3A8" w:sz="4"/>
              <w:bottom w:val="single" w:color="D9C3A8" w:sz="4"/>
              <w:right w:val="single" w:color="D9C3A8" w:sz="4"/>
            </w:tcBorders>
            <w:shd w:fill="F7ECD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19"/>
                <w:szCs w:val="19"/>
              </w:rPr>
              <w:t xml:space="preserve">El cacao cotizó a US$5,645 por tonelada el 16-oct-2026: 2.2 % menos en un mes y 4.2 % menos en un año. Llegó a más de US$13,000 a fines de 2024. La entidad reguladora de Ghana prevé que su producción de 2026/27 caiga al menos 16 %</w:t>
            </w:r>
          </w:p>
        </w:tc>
        <w:tc>
          <w:tcPr>
            <w:tcW w:type="dxa" w:w="3446"/>
            <w:tcBorders>
              <w:top w:val="single" w:color="D9C3A8" w:sz="4"/>
              <w:left w:val="single" w:color="D9C3A8" w:sz="4"/>
              <w:bottom w:val="single" w:color="D9C3A8" w:sz="4"/>
              <w:right w:val="single" w:color="D9C3A8" w:sz="4"/>
            </w:tcBorders>
            <w:shd w:fill="F7ECD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19"/>
                <w:szCs w:val="19"/>
              </w:rPr>
              <w:t xml:space="preserve">Trading Economics, 16-oct-2026. La cifra de Ghana es de una nota secundaria [POR CONFIRMAR]</w:t>
            </w:r>
          </w:p>
        </w:tc>
      </w:tr>
      <w:tr>
        <w:trPr>
          <w:tblHeader w:val="false"/>
        </w:trPr>
        <w:tc>
          <w:tcPr>
            <w:tcW w:type="dxa" w:w="2469"/>
            <w:tcBorders>
              <w:top w:val="single" w:color="D9C3A8" w:sz="4"/>
              <w:left w:val="single" w:color="D9C3A8" w:sz="4"/>
              <w:bottom w:val="single" w:color="D9C3A8" w:sz="4"/>
              <w:right w:val="single" w:color="D9C3A8" w:sz="4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19"/>
                <w:szCs w:val="19"/>
              </w:rPr>
              <w:t xml:space="preserve">E3 Poder adquisitivo</w:t>
            </w:r>
          </w:p>
        </w:tc>
        <w:tc>
          <w:tcPr>
            <w:tcW w:type="dxa" w:w="3445"/>
            <w:tcBorders>
              <w:top w:val="single" w:color="D9C3A8" w:sz="4"/>
              <w:left w:val="single" w:color="D9C3A8" w:sz="4"/>
              <w:bottom w:val="single" w:color="D9C3A8" w:sz="4"/>
              <w:right w:val="single" w:color="D9C3A8" w:sz="4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19"/>
                <w:szCs w:val="19"/>
              </w:rPr>
              <w:t xml:space="preserve">Ingreso mensual del hogar: A S/14,584; B S/7,787 (y C S/4,180). En Lima Top el 51.4 % de los hogares es B y el 20.2 % es A</w:t>
            </w:r>
          </w:p>
        </w:tc>
        <w:tc>
          <w:tcPr>
            <w:tcW w:type="dxa" w:w="3446"/>
            <w:tcBorders>
              <w:top w:val="single" w:color="D9C3A8" w:sz="4"/>
              <w:left w:val="single" w:color="D9C3A8" w:sz="4"/>
              <w:bottom w:val="single" w:color="D9C3A8" w:sz="4"/>
              <w:right w:val="single" w:color="D9C3A8" w:sz="4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19"/>
                <w:szCs w:val="19"/>
              </w:rPr>
              <w:t xml:space="preserve">APEIM 2025, tomado de HECHOS_v7</w:t>
            </w:r>
          </w:p>
        </w:tc>
      </w:tr>
      <w:tr>
        <w:trPr>
          <w:tblHeader w:val="false"/>
        </w:trPr>
        <w:tc>
          <w:tcPr>
            <w:tcW w:type="dxa" w:w="2469"/>
            <w:tcBorders>
              <w:top w:val="single" w:color="D9C3A8" w:sz="4"/>
              <w:left w:val="single" w:color="D9C3A8" w:sz="4"/>
              <w:bottom w:val="single" w:color="D9C3A8" w:sz="4"/>
              <w:right w:val="single" w:color="D9C3A8" w:sz="4"/>
            </w:tcBorders>
            <w:shd w:fill="F7ECD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19"/>
                <w:szCs w:val="19"/>
              </w:rPr>
              <w:t xml:space="preserve">S1 Interés por anemia</w:t>
            </w:r>
          </w:p>
        </w:tc>
        <w:tc>
          <w:tcPr>
            <w:tcW w:type="dxa" w:w="3445"/>
            <w:tcBorders>
              <w:top w:val="single" w:color="D9C3A8" w:sz="4"/>
              <w:left w:val="single" w:color="D9C3A8" w:sz="4"/>
              <w:bottom w:val="single" w:color="D9C3A8" w:sz="4"/>
              <w:right w:val="single" w:color="D9C3A8" w:sz="4"/>
            </w:tcBorders>
            <w:shd w:fill="F7ECD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19"/>
                <w:szCs w:val="19"/>
              </w:rPr>
              <w:t xml:space="preserve">Mismas cifras de ENDES 2025 (34.9 % en el Perú) y, para Lima Metropolitana, 24.0 % en niños de 6 a 35 meses (ENDES 2024, criterio OMS 2024; tema #05). Importante: ENDES mide niños de 6 a 35 meses; AndiBite apunta a niños de 4 a 11 años. Para escolares, HECHOS_v7 usa 22.5 % (escolares atendidos por el MINSA)</w:t>
            </w:r>
          </w:p>
        </w:tc>
        <w:tc>
          <w:tcPr>
            <w:tcW w:type="dxa" w:w="3446"/>
            <w:tcBorders>
              <w:top w:val="single" w:color="D9C3A8" w:sz="4"/>
              <w:left w:val="single" w:color="D9C3A8" w:sz="4"/>
              <w:bottom w:val="single" w:color="D9C3A8" w:sz="4"/>
              <w:right w:val="single" w:color="D9C3A8" w:sz="4"/>
            </w:tcBorders>
            <w:shd w:fill="F7ECD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19"/>
                <w:szCs w:val="19"/>
              </w:rPr>
              <w:t xml:space="preserve">INEI, 16-may-2026; HECHOS_v7</w:t>
            </w:r>
          </w:p>
        </w:tc>
      </w:tr>
      <w:tr>
        <w:trPr>
          <w:tblHeader w:val="false"/>
        </w:trPr>
        <w:tc>
          <w:tcPr>
            <w:tcW w:type="dxa" w:w="2469"/>
            <w:tcBorders>
              <w:top w:val="single" w:color="D9C3A8" w:sz="4"/>
              <w:left w:val="single" w:color="D9C3A8" w:sz="4"/>
              <w:bottom w:val="single" w:color="D9C3A8" w:sz="4"/>
              <w:right w:val="single" w:color="D9C3A8" w:sz="4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19"/>
                <w:szCs w:val="19"/>
              </w:rPr>
              <w:t xml:space="preserve">S2 Loncheras prácticas y aceptadas</w:t>
            </w:r>
          </w:p>
        </w:tc>
        <w:tc>
          <w:tcPr>
            <w:tcW w:type="dxa" w:w="3445"/>
            <w:tcBorders>
              <w:top w:val="single" w:color="D9C3A8" w:sz="4"/>
              <w:left w:val="single" w:color="D9C3A8" w:sz="4"/>
              <w:bottom w:val="single" w:color="D9C3A8" w:sz="4"/>
              <w:right w:val="single" w:color="D9C3A8" w:sz="4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19"/>
                <w:szCs w:val="19"/>
              </w:rPr>
              <w:t xml:space="preserve">Evidencia propia: 10 entrevistas y el focus 1 con mamás de Lima Norte (NSE C/B) dicen que sin la prueba del niño no hay compra y que la sangrecita se acepta escondida en algo dulce. El focus 2 con degustación está hecho y los resultados están por cargar</w:t>
            </w:r>
          </w:p>
        </w:tc>
        <w:tc>
          <w:tcPr>
            <w:tcW w:type="dxa" w:w="3446"/>
            <w:tcBorders>
              <w:top w:val="single" w:color="D9C3A8" w:sz="4"/>
              <w:left w:val="single" w:color="D9C3A8" w:sz="4"/>
              <w:bottom w:val="single" w:color="D9C3A8" w:sz="4"/>
              <w:right w:val="single" w:color="D9C3A8" w:sz="4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19"/>
                <w:szCs w:val="19"/>
              </w:rPr>
              <w:t xml:space="preserve">HECHOS_v7. Es evidencia de AndiBite, no de mercado; no vale para todo Lima [POR CONFIRMAR con el focus 2]</w:t>
            </w:r>
          </w:p>
        </w:tc>
      </w:tr>
      <w:tr>
        <w:trPr>
          <w:tblHeader w:val="false"/>
        </w:trPr>
        <w:tc>
          <w:tcPr>
            <w:tcW w:type="dxa" w:w="2469"/>
            <w:tcBorders>
              <w:top w:val="single" w:color="D9C3A8" w:sz="4"/>
              <w:left w:val="single" w:color="D9C3A8" w:sz="4"/>
              <w:bottom w:val="single" w:color="D9C3A8" w:sz="4"/>
              <w:right w:val="single" w:color="D9C3A8" w:sz="4"/>
            </w:tcBorders>
            <w:shd w:fill="F7ECD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19"/>
                <w:szCs w:val="19"/>
              </w:rPr>
              <w:t xml:space="preserve">S3 Información clara</w:t>
            </w:r>
          </w:p>
        </w:tc>
        <w:tc>
          <w:tcPr>
            <w:tcW w:type="dxa" w:w="3445"/>
            <w:tcBorders>
              <w:top w:val="single" w:color="D9C3A8" w:sz="4"/>
              <w:left w:val="single" w:color="D9C3A8" w:sz="4"/>
              <w:bottom w:val="single" w:color="D9C3A8" w:sz="4"/>
              <w:right w:val="single" w:color="D9C3A8" w:sz="4"/>
            </w:tcBorders>
            <w:shd w:fill="F7ECD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19"/>
                <w:szCs w:val="19"/>
              </w:rPr>
              <w:t xml:space="preserve">Según HECHOS_v7, el 83 % cambia su compra por los octógonos (Ipsos 2025) y el 42 % desconfía de lo envasado (Kantar 2025). Además, la norma técnica NTP 209.652:2025 de etiquetado nutricional se aprobó en agosto de 2026</w:t>
            </w:r>
          </w:p>
        </w:tc>
        <w:tc>
          <w:tcPr>
            <w:tcW w:type="dxa" w:w="3446"/>
            <w:tcBorders>
              <w:top w:val="single" w:color="D9C3A8" w:sz="4"/>
              <w:left w:val="single" w:color="D9C3A8" w:sz="4"/>
              <w:bottom w:val="single" w:color="D9C3A8" w:sz="4"/>
              <w:right w:val="single" w:color="D9C3A8" w:sz="4"/>
            </w:tcBorders>
            <w:shd w:fill="F7ECD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19"/>
                <w:szCs w:val="19"/>
              </w:rPr>
              <w:t xml:space="preserve">HECHOS_v7. Yo no pude abrir los estudios de Ipsos y Kantar [POR CONFIRMAR el enlace]. Agraria.pe, 5-ago-2026, vía documento 03</w:t>
            </w:r>
          </w:p>
        </w:tc>
      </w:tr>
      <w:tr>
        <w:trPr>
          <w:tblHeader w:val="false"/>
        </w:trPr>
        <w:tc>
          <w:tcPr>
            <w:tcW w:type="dxa" w:w="2469"/>
            <w:tcBorders>
              <w:top w:val="single" w:color="D9C3A8" w:sz="4"/>
              <w:left w:val="single" w:color="D9C3A8" w:sz="4"/>
              <w:bottom w:val="single" w:color="D9C3A8" w:sz="4"/>
              <w:right w:val="single" w:color="D9C3A8" w:sz="4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19"/>
                <w:szCs w:val="19"/>
              </w:rPr>
              <w:t xml:space="preserve">T1 Internet y móviles</w:t>
            </w:r>
          </w:p>
        </w:tc>
        <w:tc>
          <w:tcPr>
            <w:tcW w:type="dxa" w:w="3445"/>
            <w:tcBorders>
              <w:top w:val="single" w:color="D9C3A8" w:sz="4"/>
              <w:left w:val="single" w:color="D9C3A8" w:sz="4"/>
              <w:bottom w:val="single" w:color="D9C3A8" w:sz="4"/>
              <w:right w:val="single" w:color="D9C3A8" w:sz="4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19"/>
                <w:szCs w:val="19"/>
              </w:rPr>
              <w:t xml:space="preserve">82.7 % de hogares limeños con internet en el I trimestre de 2026 (78.1 % un año antes). El 91.5 % de los usuarios de internet en Lima se conecta por celular. El 98.4 % de los hogares limeños tenía telefonía móvil en el IV trimestre de 2025</w:t>
            </w:r>
          </w:p>
        </w:tc>
        <w:tc>
          <w:tcPr>
            <w:tcW w:type="dxa" w:w="3446"/>
            <w:tcBorders>
              <w:top w:val="single" w:color="D9C3A8" w:sz="4"/>
              <w:left w:val="single" w:color="D9C3A8" w:sz="4"/>
              <w:bottom w:val="single" w:color="D9C3A8" w:sz="4"/>
              <w:right w:val="single" w:color="D9C3A8" w:sz="4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19"/>
                <w:szCs w:val="19"/>
              </w:rPr>
              <w:t xml:space="preserve">INEI, 26-jun-2026; El Peruano sobre el INEI, IV trimestre de 2025</w:t>
            </w:r>
          </w:p>
        </w:tc>
      </w:tr>
      <w:tr>
        <w:trPr>
          <w:tblHeader w:val="false"/>
        </w:trPr>
        <w:tc>
          <w:tcPr>
            <w:tcW w:type="dxa" w:w="2469"/>
            <w:tcBorders>
              <w:top w:val="single" w:color="D9C3A8" w:sz="4"/>
              <w:left w:val="single" w:color="D9C3A8" w:sz="4"/>
              <w:bottom w:val="single" w:color="D9C3A8" w:sz="4"/>
              <w:right w:val="single" w:color="D9C3A8" w:sz="4"/>
            </w:tcBorders>
            <w:shd w:fill="F7ECD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19"/>
                <w:szCs w:val="19"/>
              </w:rPr>
              <w:t xml:space="preserve">T2 Procesamiento y conservación</w:t>
            </w:r>
          </w:p>
        </w:tc>
        <w:tc>
          <w:tcPr>
            <w:tcW w:type="dxa" w:w="3445"/>
            <w:tcBorders>
              <w:top w:val="single" w:color="D9C3A8" w:sz="4"/>
              <w:left w:val="single" w:color="D9C3A8" w:sz="4"/>
              <w:bottom w:val="single" w:color="D9C3A8" w:sz="4"/>
              <w:right w:val="single" w:color="D9C3A8" w:sz="4"/>
            </w:tcBorders>
            <w:shd w:fill="F7ECD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19"/>
                <w:szCs w:val="19"/>
              </w:rPr>
              <w:t xml:space="preserve">La sangrecita viene lista, liofilizada y a granel (S/300 por kg) de un proveedor con registro sanitario. La maquila solo la hidrata. El hierro se mide en laboratorio por lote. Vida útil objetivo: de 60 a 90 días a temperatura ambiente [HIPÓTESIS]</w:t>
            </w:r>
          </w:p>
        </w:tc>
        <w:tc>
          <w:tcPr>
            <w:tcW w:type="dxa" w:w="3446"/>
            <w:tcBorders>
              <w:top w:val="single" w:color="D9C3A8" w:sz="4"/>
              <w:left w:val="single" w:color="D9C3A8" w:sz="4"/>
              <w:bottom w:val="single" w:color="D9C3A8" w:sz="4"/>
              <w:right w:val="single" w:color="D9C3A8" w:sz="4"/>
            </w:tcBorders>
            <w:shd w:fill="F7ECD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19"/>
                <w:szCs w:val="19"/>
              </w:rPr>
              <w:t xml:space="preserve">HECHOS_v7; documento 03. La vida útil real se confirma con un estudio [POR CONFIRMAR]</w:t>
            </w:r>
          </w:p>
        </w:tc>
      </w:tr>
      <w:tr>
        <w:trPr>
          <w:tblHeader w:val="false"/>
        </w:trPr>
        <w:tc>
          <w:tcPr>
            <w:tcW w:type="dxa" w:w="2469"/>
            <w:tcBorders>
              <w:top w:val="single" w:color="D9C3A8" w:sz="4"/>
              <w:left w:val="single" w:color="D9C3A8" w:sz="4"/>
              <w:bottom w:val="single" w:color="D9C3A8" w:sz="4"/>
              <w:right w:val="single" w:color="D9C3A8" w:sz="4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19"/>
                <w:szCs w:val="19"/>
              </w:rPr>
              <w:t xml:space="preserve">T3 Ventas y atención digital</w:t>
            </w:r>
          </w:p>
        </w:tc>
        <w:tc>
          <w:tcPr>
            <w:tcW w:type="dxa" w:w="3445"/>
            <w:tcBorders>
              <w:top w:val="single" w:color="D9C3A8" w:sz="4"/>
              <w:left w:val="single" w:color="D9C3A8" w:sz="4"/>
              <w:bottom w:val="single" w:color="D9C3A8" w:sz="4"/>
              <w:right w:val="single" w:color="D9C3A8" w:sz="4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19"/>
                <w:szCs w:val="19"/>
              </w:rPr>
              <w:t xml:space="preserve">35 % de lo vendido en físico vuelve por WhatsApp. Meta: 30 % de los envases escaneados con el QR en el año 1</w:t>
            </w:r>
          </w:p>
        </w:tc>
        <w:tc>
          <w:tcPr>
            <w:tcW w:type="dxa" w:w="3446"/>
            <w:tcBorders>
              <w:top w:val="single" w:color="D9C3A8" w:sz="4"/>
              <w:left w:val="single" w:color="D9C3A8" w:sz="4"/>
              <w:bottom w:val="single" w:color="D9C3A8" w:sz="4"/>
              <w:right w:val="single" w:color="D9C3A8" w:sz="4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19"/>
                <w:szCs w:val="19"/>
              </w:rPr>
              <w:t xml:space="preserve">HECHOS_v7 (son metas del plan, no datos de mercado)</w:t>
            </w:r>
          </w:p>
        </w:tc>
      </w:tr>
      <w:tr>
        <w:trPr>
          <w:tblHeader w:val="false"/>
        </w:trPr>
        <w:tc>
          <w:tcPr>
            <w:tcW w:type="dxa" w:w="2469"/>
            <w:tcBorders>
              <w:top w:val="single" w:color="D9C3A8" w:sz="4"/>
              <w:left w:val="single" w:color="D9C3A8" w:sz="4"/>
              <w:bottom w:val="single" w:color="D9C3A8" w:sz="4"/>
              <w:right w:val="single" w:color="D9C3A8" w:sz="4"/>
            </w:tcBorders>
            <w:shd w:fill="F7ECD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19"/>
                <w:szCs w:val="19"/>
              </w:rPr>
              <w:t xml:space="preserve">A1 Clima y cacao o cañihua</w:t>
            </w:r>
          </w:p>
        </w:tc>
        <w:tc>
          <w:tcPr>
            <w:tcW w:type="dxa" w:w="3445"/>
            <w:tcBorders>
              <w:top w:val="single" w:color="D9C3A8" w:sz="4"/>
              <w:left w:val="single" w:color="D9C3A8" w:sz="4"/>
              <w:bottom w:val="single" w:color="D9C3A8" w:sz="4"/>
              <w:right w:val="single" w:color="D9C3A8" w:sz="4"/>
            </w:tcBorders>
            <w:shd w:fill="F7ECD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19"/>
                <w:szCs w:val="19"/>
              </w:rPr>
              <w:t xml:space="preserve">El ENFEN (comité que vigila El Niño) anunció, según Panamericana, un Niño costero de magnitud extraordinaria entre setiembre de 2026 y mayo de 2027, con pico probable hasta enero de 2027. Perú exportó más de 178 mil toneladas de cacao y derivados en 2025 (US$1,619 millones); San Martín, Junín, Huánuco y Ucayali producen el 79 %</w:t>
            </w:r>
          </w:p>
        </w:tc>
        <w:tc>
          <w:tcPr>
            <w:tcW w:type="dxa" w:w="3446"/>
            <w:tcBorders>
              <w:top w:val="single" w:color="D9C3A8" w:sz="4"/>
              <w:left w:val="single" w:color="D9C3A8" w:sz="4"/>
              <w:bottom w:val="single" w:color="D9C3A8" w:sz="4"/>
              <w:right w:val="single" w:color="D9C3A8" w:sz="4"/>
            </w:tcBorders>
            <w:shd w:fill="F7ECD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19"/>
                <w:szCs w:val="19"/>
              </w:rPr>
              <w:t xml:space="preserve">Panamericana, 16-sep-2026 (comunicado ENFEN 16-2026) [POR CONFIRMAR en el texto oficial]; MIDAGRI vía Panamericana. Cañihua: no se halló dato [POR CONFIRMAR]</w:t>
            </w:r>
          </w:p>
        </w:tc>
      </w:tr>
      <w:tr>
        <w:trPr>
          <w:tblHeader w:val="false"/>
        </w:trPr>
        <w:tc>
          <w:tcPr>
            <w:tcW w:type="dxa" w:w="2469"/>
            <w:tcBorders>
              <w:top w:val="single" w:color="D9C3A8" w:sz="4"/>
              <w:left w:val="single" w:color="D9C3A8" w:sz="4"/>
              <w:bottom w:val="single" w:color="D9C3A8" w:sz="4"/>
              <w:right w:val="single" w:color="D9C3A8" w:sz="4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19"/>
                <w:szCs w:val="19"/>
              </w:rPr>
              <w:t xml:space="preserve">A2 Residuos de envases</w:t>
            </w:r>
          </w:p>
        </w:tc>
        <w:tc>
          <w:tcPr>
            <w:tcW w:type="dxa" w:w="3445"/>
            <w:tcBorders>
              <w:top w:val="single" w:color="D9C3A8" w:sz="4"/>
              <w:left w:val="single" w:color="D9C3A8" w:sz="4"/>
              <w:bottom w:val="single" w:color="D9C3A8" w:sz="4"/>
              <w:right w:val="single" w:color="D9C3A8" w:sz="4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19"/>
                <w:szCs w:val="19"/>
              </w:rPr>
              <w:t xml:space="preserve">La Ley 30884 regula el plástico de un solo uso y los envases descartables; su reglamento es el D.S. 006-2019-MINAM (El Peruano, 23-ago-2019). El envase del brownie es flow pack individual y caja de 6</w:t>
            </w:r>
          </w:p>
        </w:tc>
        <w:tc>
          <w:tcPr>
            <w:tcW w:type="dxa" w:w="3446"/>
            <w:tcBorders>
              <w:top w:val="single" w:color="D9C3A8" w:sz="4"/>
              <w:left w:val="single" w:color="D9C3A8" w:sz="4"/>
              <w:bottom w:val="single" w:color="D9C3A8" w:sz="4"/>
              <w:right w:val="single" w:color="D9C3A8" w:sz="4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19"/>
                <w:szCs w:val="19"/>
              </w:rPr>
              <w:t xml:space="preserve">LP Derecho / El Peruano, 2019; documento 03. Si el flow pack entra en la ley [POR CONFIRMAR con Paty]</w:t>
            </w:r>
          </w:p>
        </w:tc>
      </w:tr>
      <w:tr>
        <w:trPr>
          <w:tblHeader w:val="false"/>
        </w:trPr>
        <w:tc>
          <w:tcPr>
            <w:tcW w:type="dxa" w:w="2469"/>
            <w:tcBorders>
              <w:top w:val="single" w:color="D9C3A8" w:sz="4"/>
              <w:left w:val="single" w:color="D9C3A8" w:sz="4"/>
              <w:bottom w:val="single" w:color="D9C3A8" w:sz="4"/>
              <w:right w:val="single" w:color="D9C3A8" w:sz="4"/>
            </w:tcBorders>
            <w:shd w:fill="F7ECD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19"/>
                <w:szCs w:val="19"/>
              </w:rPr>
              <w:t xml:space="preserve">A3 Pérdidas por conservación y distribución</w:t>
            </w:r>
          </w:p>
        </w:tc>
        <w:tc>
          <w:tcPr>
            <w:tcW w:type="dxa" w:w="3445"/>
            <w:tcBorders>
              <w:top w:val="single" w:color="D9C3A8" w:sz="4"/>
              <w:left w:val="single" w:color="D9C3A8" w:sz="4"/>
              <w:bottom w:val="single" w:color="D9C3A8" w:sz="4"/>
              <w:right w:val="single" w:color="D9C3A8" w:sz="4"/>
            </w:tcBorders>
            <w:shd w:fill="F7ECD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19"/>
                <w:szCs w:val="19"/>
              </w:rPr>
              <w:t xml:space="preserve">El brownie se hornea en la planta de maquila y se despacha al almacén de la marca. Meta de vida útil de 60 a 90 días. No hay dato de mermas todavía</w:t>
            </w:r>
          </w:p>
        </w:tc>
        <w:tc>
          <w:tcPr>
            <w:tcW w:type="dxa" w:w="3446"/>
            <w:tcBorders>
              <w:top w:val="single" w:color="D9C3A8" w:sz="4"/>
              <w:left w:val="single" w:color="D9C3A8" w:sz="4"/>
              <w:bottom w:val="single" w:color="D9C3A8" w:sz="4"/>
              <w:right w:val="single" w:color="D9C3A8" w:sz="4"/>
            </w:tcBorders>
            <w:shd w:fill="F7ECD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19"/>
                <w:szCs w:val="19"/>
              </w:rPr>
              <w:t xml:space="preserve">Documento 03 [HIPÓTESIS]. Dato de mermas [POR CONFIRMAR con Paty y la maquila]</w:t>
            </w:r>
          </w:p>
        </w:tc>
      </w:tr>
      <w:tr>
        <w:trPr>
          <w:tblHeader w:val="false"/>
        </w:trPr>
        <w:tc>
          <w:tcPr>
            <w:tcW w:type="dxa" w:w="2469"/>
            <w:tcBorders>
              <w:top w:val="single" w:color="D9C3A8" w:sz="4"/>
              <w:left w:val="single" w:color="D9C3A8" w:sz="4"/>
              <w:bottom w:val="single" w:color="D9C3A8" w:sz="4"/>
              <w:right w:val="single" w:color="D9C3A8" w:sz="4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19"/>
                <w:szCs w:val="19"/>
              </w:rPr>
              <w:t xml:space="preserve">L1 Requisitos sanitarios</w:t>
            </w:r>
          </w:p>
        </w:tc>
        <w:tc>
          <w:tcPr>
            <w:tcW w:type="dxa" w:w="3445"/>
            <w:tcBorders>
              <w:top w:val="single" w:color="D9C3A8" w:sz="4"/>
              <w:left w:val="single" w:color="D9C3A8" w:sz="4"/>
              <w:bottom w:val="single" w:color="D9C3A8" w:sz="4"/>
              <w:right w:val="single" w:color="D9C3A8" w:sz="4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19"/>
                <w:szCs w:val="19"/>
              </w:rPr>
              <w:t xml:space="preserve">El producto envasado con la marca AndiBite necesita su propio Registro Sanitario ante DIGESA (D.S. 007-98-SA). Hoy el trámite no tiene tasa por el nuevo TUPA del MINSA (D.S. 011-2026-SA, vigente desde el 22-jul-2026); el costo real está en los análisis de laboratorio</w:t>
            </w:r>
          </w:p>
        </w:tc>
        <w:tc>
          <w:tcPr>
            <w:tcW w:type="dxa" w:w="3446"/>
            <w:tcBorders>
              <w:top w:val="single" w:color="D9C3A8" w:sz="4"/>
              <w:left w:val="single" w:color="D9C3A8" w:sz="4"/>
              <w:bottom w:val="single" w:color="D9C3A8" w:sz="4"/>
              <w:right w:val="single" w:color="D9C3A8" w:sz="4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19"/>
                <w:szCs w:val="19"/>
              </w:rPr>
              <w:t xml:space="preserve">Comunicado 05-2026 DIGESA/MINSA, tomado del documento 03 (la página de DIGESA bloqueó mi consulta) [POR CONFIRMAR]</w:t>
            </w:r>
          </w:p>
        </w:tc>
      </w:tr>
      <w:tr>
        <w:trPr>
          <w:tblHeader w:val="false"/>
        </w:trPr>
        <w:tc>
          <w:tcPr>
            <w:tcW w:type="dxa" w:w="2469"/>
            <w:tcBorders>
              <w:top w:val="single" w:color="D9C3A8" w:sz="4"/>
              <w:left w:val="single" w:color="D9C3A8" w:sz="4"/>
              <w:bottom w:val="single" w:color="D9C3A8" w:sz="4"/>
              <w:right w:val="single" w:color="D9C3A8" w:sz="4"/>
            </w:tcBorders>
            <w:shd w:fill="F7ECD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19"/>
                <w:szCs w:val="19"/>
              </w:rPr>
              <w:t xml:space="preserve">L2 Octógonos</w:t>
            </w:r>
          </w:p>
        </w:tc>
        <w:tc>
          <w:tcPr>
            <w:tcW w:type="dxa" w:w="3445"/>
            <w:tcBorders>
              <w:top w:val="single" w:color="D9C3A8" w:sz="4"/>
              <w:left w:val="single" w:color="D9C3A8" w:sz="4"/>
              <w:bottom w:val="single" w:color="D9C3A8" w:sz="4"/>
              <w:right w:val="single" w:color="D9C3A8" w:sz="4"/>
            </w:tcBorders>
            <w:shd w:fill="F7ECD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19"/>
                <w:szCs w:val="19"/>
              </w:rPr>
              <w:t xml:space="preserve">Ley 30021 y Manual de Advertencias Publicitarias (D.S. 012-2018-SA). Desde el 17-sep-2021 un sólido lleva octógono desde 400 mg de sodio, 10 g de azúcar total o 4 g de grasas saturadas por 100 g. Receta reformulada con eritritol: de 4.6 a 7.1 g de azúcar por 100 g según la T1</w:t>
            </w:r>
          </w:p>
        </w:tc>
        <w:tc>
          <w:tcPr>
            <w:tcW w:type="dxa" w:w="3446"/>
            <w:tcBorders>
              <w:top w:val="single" w:color="D9C3A8" w:sz="4"/>
              <w:left w:val="single" w:color="D9C3A8" w:sz="4"/>
              <w:bottom w:val="single" w:color="D9C3A8" w:sz="4"/>
              <w:right w:val="single" w:color="D9C3A8" w:sz="4"/>
            </w:tcBorders>
            <w:shd w:fill="F7ECD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19"/>
                <w:szCs w:val="19"/>
              </w:rPr>
              <w:t xml:space="preserve">Gestión, 19-sep-2021; HECHOS_v7 [POR CONFIRMAR en laboratorio]. En 2022 el MINSA publicó un proyecto para cambiar los límites; no encontré que se haya aprobado [POR CONFIRMAR en El Peruano]</w:t>
            </w:r>
          </w:p>
        </w:tc>
      </w:tr>
      <w:tr>
        <w:trPr>
          <w:tblHeader w:val="false"/>
        </w:trPr>
        <w:tc>
          <w:tcPr>
            <w:tcW w:type="dxa" w:w="2469"/>
            <w:tcBorders>
              <w:top w:val="single" w:color="D9C3A8" w:sz="4"/>
              <w:left w:val="single" w:color="D9C3A8" w:sz="4"/>
              <w:bottom w:val="single" w:color="D9C3A8" w:sz="4"/>
              <w:right w:val="single" w:color="D9C3A8" w:sz="4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19"/>
                <w:szCs w:val="19"/>
              </w:rPr>
              <w:t xml:space="preserve">L3 Publicidad y declaraciones</w:t>
            </w:r>
          </w:p>
        </w:tc>
        <w:tc>
          <w:tcPr>
            <w:tcW w:type="dxa" w:w="3445"/>
            <w:tcBorders>
              <w:top w:val="single" w:color="D9C3A8" w:sz="4"/>
              <w:left w:val="single" w:color="D9C3A8" w:sz="4"/>
              <w:bottom w:val="single" w:color="D9C3A8" w:sz="4"/>
              <w:right w:val="single" w:color="D9C3A8" w:sz="4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19"/>
                <w:szCs w:val="19"/>
              </w:rPr>
              <w:t xml:space="preserve">El art. 8 de la Ley 30021 regula la publicidad de alimentos dirigida a menores de 16 años. Prohíbe entregarles productos gratis como promoción, por eso las muestras van a los padres. Además, la Ley 29733 de datos personales tiene un nuevo reglamento (D.S. 016-2024-JUS), vigente desde fines de marzo de 2025</w:t>
            </w:r>
          </w:p>
        </w:tc>
        <w:tc>
          <w:tcPr>
            <w:tcW w:type="dxa" w:w="3446"/>
            <w:tcBorders>
              <w:top w:val="single" w:color="D9C3A8" w:sz="4"/>
              <w:left w:val="single" w:color="D9C3A8" w:sz="4"/>
              <w:bottom w:val="single" w:color="D9C3A8" w:sz="4"/>
              <w:right w:val="single" w:color="D9C3A8" w:sz="4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19"/>
                <w:szCs w:val="19"/>
              </w:rPr>
              <w:t xml:space="preserve">Congreso de la República; documento 03; Garrigues. Fecha exacta de vigencia: 30 de marzo según la mayoría de fuentes [POR CONFIRMAR]</w:t>
            </w:r>
          </w:p>
        </w:tc>
      </w:tr>
      <w:tr>
        <w:trPr>
          <w:tblHeader w:val="false"/>
        </w:trPr>
        <w:tc>
          <w:tcPr>
            <w:tcW w:type="dxa" w:w="2469"/>
            <w:tcBorders>
              <w:top w:val="single" w:color="D9C3A8" w:sz="4"/>
              <w:left w:val="single" w:color="D9C3A8" w:sz="4"/>
              <w:bottom w:val="single" w:color="D9C3A8" w:sz="4"/>
              <w:right w:val="single" w:color="D9C3A8" w:sz="4"/>
            </w:tcBorders>
            <w:shd w:fill="F7ECD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19"/>
                <w:szCs w:val="19"/>
              </w:rPr>
              <w:t xml:space="preserve">L4 Tributos</w:t>
            </w:r>
          </w:p>
        </w:tc>
        <w:tc>
          <w:tcPr>
            <w:tcW w:type="dxa" w:w="3445"/>
            <w:tcBorders>
              <w:top w:val="single" w:color="D9C3A8" w:sz="4"/>
              <w:left w:val="single" w:color="D9C3A8" w:sz="4"/>
              <w:bottom w:val="single" w:color="D9C3A8" w:sz="4"/>
              <w:right w:val="single" w:color="D9C3A8" w:sz="4"/>
            </w:tcBorders>
            <w:shd w:fill="F7ECD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19"/>
                <w:szCs w:val="19"/>
              </w:rPr>
              <w:t xml:space="preserve">Valor de la UIT 2026: S/5,500. Régimen MYPE Tributario: pago a cuenta de 1 % mensual si se vende hasta 300 UIT al año; renta anual de 10 % sobre las primeras 15 UIT de utilidad y 29.5 % sobre el exceso; IGV de 18 %. Desde el 1-jun-2026 quien se inscribe en el RUC emite factura electrónica desde el primer día</w:t>
            </w:r>
          </w:p>
        </w:tc>
        <w:tc>
          <w:tcPr>
            <w:tcW w:type="dxa" w:w="3446"/>
            <w:tcBorders>
              <w:top w:val="single" w:color="D9C3A8" w:sz="4"/>
              <w:left w:val="single" w:color="D9C3A8" w:sz="4"/>
              <w:bottom w:val="single" w:color="D9C3A8" w:sz="4"/>
              <w:right w:val="single" w:color="D9C3A8" w:sz="4"/>
            </w:tcBorders>
            <w:shd w:fill="F7ECD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19"/>
                <w:szCs w:val="19"/>
              </w:rPr>
              <w:t xml:space="preserve">MEF, D.S. 301-2025-EF; modelo.pe sobre el RMT 2026 (fuente secundaria, confirmar en SUNAT); documento 03</w:t>
            </w:r>
          </w:p>
        </w:tc>
      </w:tr>
    </w:tbl>
    <w:p>
      <w:pPr>
        <w:spacing w:after="80"/>
      </w:pPr>
    </w:p>
    <w:p>
      <w:pPr>
        <w:spacing w:after="120"/>
      </w:pPr>
      <w:r>
        <w:rPr>
          <w:b/>
          <w:bCs/>
        </w:rPr>
        <w:t xml:space="preserve">Programas de PRODUCE y lineamientos de MINEDU: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De PRODUCE solo encontré datos recientes y claros de las ferias "Perú Produce". Las fechas (11 al 16 de noviembre de 2026) caen antes del lanzamiento de AndiBite (enero de 2027) y los requisitos no se han publicado. Compras a MYPErú existe, pero compra sobre todo textiles y calzado para entidades del Estado. No encontré una convocatoria actual de ProInnóvate para el rubro de alimentos [POR CONFIRMAR].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De MINEDU no encontré una norma propia sobre quioscos escolares. La regla vigente que hallé es de MINSA (RM 195-2019/MINSA), y los lineamientos dicen que MINEDU debe adoptarlos [POR CONFIRMAR].</w:t>
      </w:r>
    </w:p>
    <w:p>
      <w:pPr>
        <w:pStyle w:val="Heading2"/>
      </w:pPr>
      <w:r>
        <w:t xml:space="preserve">3.5 Evaluación propuesta para las variables que dicen "Ambas"</w:t>
      </w:r>
    </w:p>
    <w:p>
      <w:pPr>
        <w:spacing w:after="120"/>
      </w:pPr>
      <w:r>
        <w:t xml:space="preserve">Un PESTEL más claro define si cada variable es oportunidad o amenaza para AndiBite. Cuando de verdad depende de una condición, es mejor escribir la condición que dejar "Ambas". Todo esto es [PROPUESTA] para que Angie y el grupo decidan.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61"/>
        <w:gridCol w:w="1014"/>
        <w:gridCol w:w="3102"/>
        <w:gridCol w:w="3383"/>
      </w:tblGrid>
      <w:tr>
        <w:trPr>
          <w:tblHeader/>
        </w:trPr>
        <w:tc>
          <w:tcPr>
            <w:tcW w:type="dxa" w:w="1861"/>
            <w:tcBorders>
              <w:top w:val="single" w:color="D9C3A8" w:sz="4"/>
              <w:left w:val="single" w:color="D9C3A8" w:sz="4"/>
              <w:bottom w:val="single" w:color="D9C3A8" w:sz="4"/>
              <w:right w:val="single" w:color="D9C3A8" w:sz="4"/>
            </w:tcBorders>
            <w:shd w:fill="4A2018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Variable</w:t>
            </w:r>
          </w:p>
        </w:tc>
        <w:tc>
          <w:tcPr>
            <w:tcW w:type="dxa" w:w="1014"/>
            <w:tcBorders>
              <w:top w:val="single" w:color="D9C3A8" w:sz="4"/>
              <w:left w:val="single" w:color="D9C3A8" w:sz="4"/>
              <w:bottom w:val="single" w:color="D9C3A8" w:sz="4"/>
              <w:right w:val="single" w:color="D9C3A8" w:sz="4"/>
            </w:tcBorders>
            <w:shd w:fill="4A2018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Hoy</w:t>
            </w:r>
          </w:p>
        </w:tc>
        <w:tc>
          <w:tcPr>
            <w:tcW w:type="dxa" w:w="3102"/>
            <w:tcBorders>
              <w:top w:val="single" w:color="D9C3A8" w:sz="4"/>
              <w:left w:val="single" w:color="D9C3A8" w:sz="4"/>
              <w:bottom w:val="single" w:color="D9C3A8" w:sz="4"/>
              <w:right w:val="single" w:color="D9C3A8" w:sz="4"/>
            </w:tcBorders>
            <w:shd w:fill="4A2018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Propuesta</w:t>
            </w:r>
          </w:p>
        </w:tc>
        <w:tc>
          <w:tcPr>
            <w:tcW w:type="dxa" w:w="3383"/>
            <w:tcBorders>
              <w:top w:val="single" w:color="D9C3A8" w:sz="4"/>
              <w:left w:val="single" w:color="D9C3A8" w:sz="4"/>
              <w:bottom w:val="single" w:color="D9C3A8" w:sz="4"/>
              <w:right w:val="single" w:color="D9C3A8" w:sz="4"/>
            </w:tcBorders>
            <w:shd w:fill="4A2018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Por qué</w:t>
            </w:r>
          </w:p>
        </w:tc>
      </w:tr>
      <w:tr>
        <w:trPr>
          <w:tblHeader w:val="false"/>
        </w:trPr>
        <w:tc>
          <w:tcPr>
            <w:tcW w:type="dxa" w:w="1861"/>
            <w:tcBorders>
              <w:top w:val="single" w:color="D9C3A8" w:sz="4"/>
              <w:left w:val="single" w:color="D9C3A8" w:sz="4"/>
              <w:bottom w:val="single" w:color="D9C3A8" w:sz="4"/>
              <w:right w:val="single" w:color="D9C3A8" w:sz="4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19"/>
                <w:szCs w:val="19"/>
              </w:rPr>
              <w:t xml:space="preserve">P2 Alimentación saludable escolar</w:t>
            </w:r>
          </w:p>
        </w:tc>
        <w:tc>
          <w:tcPr>
            <w:tcW w:type="dxa" w:w="1014"/>
            <w:tcBorders>
              <w:top w:val="single" w:color="D9C3A8" w:sz="4"/>
              <w:left w:val="single" w:color="D9C3A8" w:sz="4"/>
              <w:bottom w:val="single" w:color="D9C3A8" w:sz="4"/>
              <w:right w:val="single" w:color="D9C3A8" w:sz="4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19"/>
                <w:szCs w:val="19"/>
              </w:rPr>
              <w:t xml:space="preserve">Ambas</w:t>
            </w:r>
          </w:p>
        </w:tc>
        <w:tc>
          <w:tcPr>
            <w:tcW w:type="dxa" w:w="3102"/>
            <w:tcBorders>
              <w:top w:val="single" w:color="D9C3A8" w:sz="4"/>
              <w:left w:val="single" w:color="D9C3A8" w:sz="4"/>
              <w:bottom w:val="single" w:color="D9C3A8" w:sz="4"/>
              <w:right w:val="single" w:color="D9C3A8" w:sz="4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19"/>
                <w:szCs w:val="19"/>
              </w:rPr>
              <w:t xml:space="preserve">Oportunidad si el lote sale sin octógono; amenaza si no</w:t>
            </w:r>
          </w:p>
        </w:tc>
        <w:tc>
          <w:tcPr>
            <w:tcW w:type="dxa" w:w="3383"/>
            <w:tcBorders>
              <w:top w:val="single" w:color="D9C3A8" w:sz="4"/>
              <w:left w:val="single" w:color="D9C3A8" w:sz="4"/>
              <w:bottom w:val="single" w:color="D9C3A8" w:sz="4"/>
              <w:right w:val="single" w:color="D9C3A8" w:sz="4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19"/>
                <w:szCs w:val="19"/>
              </w:rPr>
              <w:t xml:space="preserve">Los colegios son 17.5 % de los brownies del año 1. Con octógono no se vende en quioscos escolares</w:t>
            </w:r>
          </w:p>
        </w:tc>
      </w:tr>
      <w:tr>
        <w:trPr>
          <w:tblHeader w:val="false"/>
        </w:trPr>
        <w:tc>
          <w:tcPr>
            <w:tcW w:type="dxa" w:w="1861"/>
            <w:tcBorders>
              <w:top w:val="single" w:color="D9C3A8" w:sz="4"/>
              <w:left w:val="single" w:color="D9C3A8" w:sz="4"/>
              <w:bottom w:val="single" w:color="D9C3A8" w:sz="4"/>
              <w:right w:val="single" w:color="D9C3A8" w:sz="4"/>
            </w:tcBorders>
            <w:shd w:fill="F7ECD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19"/>
                <w:szCs w:val="19"/>
              </w:rPr>
              <w:t xml:space="preserve">E2 Cacao</w:t>
            </w:r>
          </w:p>
        </w:tc>
        <w:tc>
          <w:tcPr>
            <w:tcW w:type="dxa" w:w="1014"/>
            <w:tcBorders>
              <w:top w:val="single" w:color="D9C3A8" w:sz="4"/>
              <w:left w:val="single" w:color="D9C3A8" w:sz="4"/>
              <w:bottom w:val="single" w:color="D9C3A8" w:sz="4"/>
              <w:right w:val="single" w:color="D9C3A8" w:sz="4"/>
            </w:tcBorders>
            <w:shd w:fill="F7ECD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19"/>
                <w:szCs w:val="19"/>
              </w:rPr>
              <w:t xml:space="preserve">Ambas</w:t>
            </w:r>
          </w:p>
        </w:tc>
        <w:tc>
          <w:tcPr>
            <w:tcW w:type="dxa" w:w="3102"/>
            <w:tcBorders>
              <w:top w:val="single" w:color="D9C3A8" w:sz="4"/>
              <w:left w:val="single" w:color="D9C3A8" w:sz="4"/>
              <w:bottom w:val="single" w:color="D9C3A8" w:sz="4"/>
              <w:right w:val="single" w:color="D9C3A8" w:sz="4"/>
            </w:tcBorders>
            <w:shd w:fill="F7ECD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19"/>
                <w:szCs w:val="19"/>
              </w:rPr>
              <w:t xml:space="preserve">Amenaza moderada</w:t>
            </w:r>
          </w:p>
        </w:tc>
        <w:tc>
          <w:tcPr>
            <w:tcW w:type="dxa" w:w="3383"/>
            <w:tcBorders>
              <w:top w:val="single" w:color="D9C3A8" w:sz="4"/>
              <w:left w:val="single" w:color="D9C3A8" w:sz="4"/>
              <w:bottom w:val="single" w:color="D9C3A8" w:sz="4"/>
              <w:right w:val="single" w:color="D9C3A8" w:sz="4"/>
            </w:tcBorders>
            <w:shd w:fill="F7ECD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19"/>
                <w:szCs w:val="19"/>
              </w:rPr>
              <w:t xml:space="preserve">Los precios bajaron en el último año, pero siguen siendo muy volátiles y AndiBite no puede subir sus precios del plan</w:t>
            </w:r>
          </w:p>
        </w:tc>
      </w:tr>
      <w:tr>
        <w:trPr>
          <w:tblHeader w:val="false"/>
        </w:trPr>
        <w:tc>
          <w:tcPr>
            <w:tcW w:type="dxa" w:w="1861"/>
            <w:tcBorders>
              <w:top w:val="single" w:color="D9C3A8" w:sz="4"/>
              <w:left w:val="single" w:color="D9C3A8" w:sz="4"/>
              <w:bottom w:val="single" w:color="D9C3A8" w:sz="4"/>
              <w:right w:val="single" w:color="D9C3A8" w:sz="4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19"/>
                <w:szCs w:val="19"/>
              </w:rPr>
              <w:t xml:space="preserve">E3 Poder adquisitivo</w:t>
            </w:r>
          </w:p>
        </w:tc>
        <w:tc>
          <w:tcPr>
            <w:tcW w:type="dxa" w:w="1014"/>
            <w:tcBorders>
              <w:top w:val="single" w:color="D9C3A8" w:sz="4"/>
              <w:left w:val="single" w:color="D9C3A8" w:sz="4"/>
              <w:bottom w:val="single" w:color="D9C3A8" w:sz="4"/>
              <w:right w:val="single" w:color="D9C3A8" w:sz="4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19"/>
                <w:szCs w:val="19"/>
              </w:rPr>
              <w:t xml:space="preserve">Ambas</w:t>
            </w:r>
          </w:p>
        </w:tc>
        <w:tc>
          <w:tcPr>
            <w:tcW w:type="dxa" w:w="3102"/>
            <w:tcBorders>
              <w:top w:val="single" w:color="D9C3A8" w:sz="4"/>
              <w:left w:val="single" w:color="D9C3A8" w:sz="4"/>
              <w:bottom w:val="single" w:color="D9C3A8" w:sz="4"/>
              <w:right w:val="single" w:color="D9C3A8" w:sz="4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19"/>
                <w:szCs w:val="19"/>
              </w:rPr>
              <w:t xml:space="preserve">Oportunidad para A; amenaza moderada para B</w:t>
            </w:r>
          </w:p>
        </w:tc>
        <w:tc>
          <w:tcPr>
            <w:tcW w:type="dxa" w:w="3383"/>
            <w:tcBorders>
              <w:top w:val="single" w:color="D9C3A8" w:sz="4"/>
              <w:left w:val="single" w:color="D9C3A8" w:sz="4"/>
              <w:bottom w:val="single" w:color="D9C3A8" w:sz="4"/>
              <w:right w:val="single" w:color="D9C3A8" w:sz="4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19"/>
                <w:szCs w:val="19"/>
              </w:rPr>
              <w:t xml:space="preserve">Ingreso del hogar A S/14,584; B S/7,787. Rodrigo (B) mira el precio por brownie</w:t>
            </w:r>
          </w:p>
        </w:tc>
      </w:tr>
      <w:tr>
        <w:trPr>
          <w:tblHeader w:val="false"/>
        </w:trPr>
        <w:tc>
          <w:tcPr>
            <w:tcW w:type="dxa" w:w="1861"/>
            <w:tcBorders>
              <w:top w:val="single" w:color="D9C3A8" w:sz="4"/>
              <w:left w:val="single" w:color="D9C3A8" w:sz="4"/>
              <w:bottom w:val="single" w:color="D9C3A8" w:sz="4"/>
              <w:right w:val="single" w:color="D9C3A8" w:sz="4"/>
            </w:tcBorders>
            <w:shd w:fill="F7ECD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19"/>
                <w:szCs w:val="19"/>
              </w:rPr>
              <w:t xml:space="preserve">S3 Información clara</w:t>
            </w:r>
          </w:p>
        </w:tc>
        <w:tc>
          <w:tcPr>
            <w:tcW w:type="dxa" w:w="1014"/>
            <w:tcBorders>
              <w:top w:val="single" w:color="D9C3A8" w:sz="4"/>
              <w:left w:val="single" w:color="D9C3A8" w:sz="4"/>
              <w:bottom w:val="single" w:color="D9C3A8" w:sz="4"/>
              <w:right w:val="single" w:color="D9C3A8" w:sz="4"/>
            </w:tcBorders>
            <w:shd w:fill="F7ECD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19"/>
                <w:szCs w:val="19"/>
              </w:rPr>
              <w:t xml:space="preserve">Ambas</w:t>
            </w:r>
          </w:p>
        </w:tc>
        <w:tc>
          <w:tcPr>
            <w:tcW w:type="dxa" w:w="3102"/>
            <w:tcBorders>
              <w:top w:val="single" w:color="D9C3A8" w:sz="4"/>
              <w:left w:val="single" w:color="D9C3A8" w:sz="4"/>
              <w:bottom w:val="single" w:color="D9C3A8" w:sz="4"/>
              <w:right w:val="single" w:color="D9C3A8" w:sz="4"/>
            </w:tcBorders>
            <w:shd w:fill="F7ECD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19"/>
                <w:szCs w:val="19"/>
              </w:rPr>
              <w:t xml:space="preserve">Oportunidad</w:t>
            </w:r>
          </w:p>
        </w:tc>
        <w:tc>
          <w:tcPr>
            <w:tcW w:type="dxa" w:w="3383"/>
            <w:tcBorders>
              <w:top w:val="single" w:color="D9C3A8" w:sz="4"/>
              <w:left w:val="single" w:color="D9C3A8" w:sz="4"/>
              <w:bottom w:val="single" w:color="D9C3A8" w:sz="4"/>
              <w:right w:val="single" w:color="D9C3A8" w:sz="4"/>
            </w:tcBorders>
            <w:shd w:fill="F7ECD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19"/>
                <w:szCs w:val="19"/>
              </w:rPr>
              <w:t xml:space="preserve">"Hierro medido. Sabor a brownie." y la app con el resultado por lote responden justo a la desconfianza</w:t>
            </w:r>
          </w:p>
        </w:tc>
      </w:tr>
      <w:tr>
        <w:trPr>
          <w:tblHeader w:val="false"/>
        </w:trPr>
        <w:tc>
          <w:tcPr>
            <w:tcW w:type="dxa" w:w="1861"/>
            <w:tcBorders>
              <w:top w:val="single" w:color="D9C3A8" w:sz="4"/>
              <w:left w:val="single" w:color="D9C3A8" w:sz="4"/>
              <w:bottom w:val="single" w:color="D9C3A8" w:sz="4"/>
              <w:right w:val="single" w:color="D9C3A8" w:sz="4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19"/>
                <w:szCs w:val="19"/>
              </w:rPr>
              <w:t xml:space="preserve">T2 Procesamiento y conservación</w:t>
            </w:r>
          </w:p>
        </w:tc>
        <w:tc>
          <w:tcPr>
            <w:tcW w:type="dxa" w:w="1014"/>
            <w:tcBorders>
              <w:top w:val="single" w:color="D9C3A8" w:sz="4"/>
              <w:left w:val="single" w:color="D9C3A8" w:sz="4"/>
              <w:bottom w:val="single" w:color="D9C3A8" w:sz="4"/>
              <w:right w:val="single" w:color="D9C3A8" w:sz="4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19"/>
                <w:szCs w:val="19"/>
              </w:rPr>
              <w:t xml:space="preserve">Ambas</w:t>
            </w:r>
          </w:p>
        </w:tc>
        <w:tc>
          <w:tcPr>
            <w:tcW w:type="dxa" w:w="3102"/>
            <w:tcBorders>
              <w:top w:val="single" w:color="D9C3A8" w:sz="4"/>
              <w:left w:val="single" w:color="D9C3A8" w:sz="4"/>
              <w:bottom w:val="single" w:color="D9C3A8" w:sz="4"/>
              <w:right w:val="single" w:color="D9C3A8" w:sz="4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19"/>
                <w:szCs w:val="19"/>
              </w:rPr>
              <w:t xml:space="preserve">Oportunidad</w:t>
            </w:r>
          </w:p>
        </w:tc>
        <w:tc>
          <w:tcPr>
            <w:tcW w:type="dxa" w:w="3383"/>
            <w:tcBorders>
              <w:top w:val="single" w:color="D9C3A8" w:sz="4"/>
              <w:left w:val="single" w:color="D9C3A8" w:sz="4"/>
              <w:bottom w:val="single" w:color="D9C3A8" w:sz="4"/>
              <w:right w:val="single" w:color="D9C3A8" w:sz="4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19"/>
                <w:szCs w:val="19"/>
              </w:rPr>
              <w:t xml:space="preserve">La sangrecita liofilizada ya viene lista y la maquila evita montar planta propia. El riesgo de vida útil va en A3</w:t>
            </w:r>
          </w:p>
        </w:tc>
      </w:tr>
      <w:tr>
        <w:trPr>
          <w:tblHeader w:val="false"/>
        </w:trPr>
        <w:tc>
          <w:tcPr>
            <w:tcW w:type="dxa" w:w="1861"/>
            <w:tcBorders>
              <w:top w:val="single" w:color="D9C3A8" w:sz="4"/>
              <w:left w:val="single" w:color="D9C3A8" w:sz="4"/>
              <w:bottom w:val="single" w:color="D9C3A8" w:sz="4"/>
              <w:right w:val="single" w:color="D9C3A8" w:sz="4"/>
            </w:tcBorders>
            <w:shd w:fill="F7ECD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19"/>
                <w:szCs w:val="19"/>
              </w:rPr>
              <w:t xml:space="preserve">A2 Residuos de envases</w:t>
            </w:r>
          </w:p>
        </w:tc>
        <w:tc>
          <w:tcPr>
            <w:tcW w:type="dxa" w:w="1014"/>
            <w:tcBorders>
              <w:top w:val="single" w:color="D9C3A8" w:sz="4"/>
              <w:left w:val="single" w:color="D9C3A8" w:sz="4"/>
              <w:bottom w:val="single" w:color="D9C3A8" w:sz="4"/>
              <w:right w:val="single" w:color="D9C3A8" w:sz="4"/>
            </w:tcBorders>
            <w:shd w:fill="F7ECD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19"/>
                <w:szCs w:val="19"/>
              </w:rPr>
              <w:t xml:space="preserve">Ambas</w:t>
            </w:r>
          </w:p>
        </w:tc>
        <w:tc>
          <w:tcPr>
            <w:tcW w:type="dxa" w:w="3102"/>
            <w:tcBorders>
              <w:top w:val="single" w:color="D9C3A8" w:sz="4"/>
              <w:left w:val="single" w:color="D9C3A8" w:sz="4"/>
              <w:bottom w:val="single" w:color="D9C3A8" w:sz="4"/>
              <w:right w:val="single" w:color="D9C3A8" w:sz="4"/>
            </w:tcBorders>
            <w:shd w:fill="F7ECD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19"/>
                <w:szCs w:val="19"/>
              </w:rPr>
              <w:t xml:space="preserve">Amenaza baja (cumplimiento)</w:t>
            </w:r>
          </w:p>
        </w:tc>
        <w:tc>
          <w:tcPr>
            <w:tcW w:type="dxa" w:w="3383"/>
            <w:tcBorders>
              <w:top w:val="single" w:color="D9C3A8" w:sz="4"/>
              <w:left w:val="single" w:color="D9C3A8" w:sz="4"/>
              <w:bottom w:val="single" w:color="D9C3A8" w:sz="4"/>
              <w:right w:val="single" w:color="D9C3A8" w:sz="4"/>
            </w:tcBorders>
            <w:shd w:fill="F7ECD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19"/>
                <w:szCs w:val="19"/>
              </w:rPr>
              <w:t xml:space="preserve">Es una obligación más que un beneficio. Puede ser oportunidad de marca si el envase es reciclable [PROPUESTA]</w:t>
            </w:r>
          </w:p>
        </w:tc>
      </w:tr>
      <w:tr>
        <w:trPr>
          <w:tblHeader w:val="false"/>
        </w:trPr>
        <w:tc>
          <w:tcPr>
            <w:tcW w:type="dxa" w:w="1861"/>
            <w:tcBorders>
              <w:top w:val="single" w:color="D9C3A8" w:sz="4"/>
              <w:left w:val="single" w:color="D9C3A8" w:sz="4"/>
              <w:bottom w:val="single" w:color="D9C3A8" w:sz="4"/>
              <w:right w:val="single" w:color="D9C3A8" w:sz="4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19"/>
                <w:szCs w:val="19"/>
              </w:rPr>
              <w:t xml:space="preserve">L3 Publicidad y declaraciones</w:t>
            </w:r>
          </w:p>
        </w:tc>
        <w:tc>
          <w:tcPr>
            <w:tcW w:type="dxa" w:w="1014"/>
            <w:tcBorders>
              <w:top w:val="single" w:color="D9C3A8" w:sz="4"/>
              <w:left w:val="single" w:color="D9C3A8" w:sz="4"/>
              <w:bottom w:val="single" w:color="D9C3A8" w:sz="4"/>
              <w:right w:val="single" w:color="D9C3A8" w:sz="4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19"/>
                <w:szCs w:val="19"/>
              </w:rPr>
              <w:t xml:space="preserve">Ambas</w:t>
            </w:r>
          </w:p>
        </w:tc>
        <w:tc>
          <w:tcPr>
            <w:tcW w:type="dxa" w:w="3102"/>
            <w:tcBorders>
              <w:top w:val="single" w:color="D9C3A8" w:sz="4"/>
              <w:left w:val="single" w:color="D9C3A8" w:sz="4"/>
              <w:bottom w:val="single" w:color="D9C3A8" w:sz="4"/>
              <w:right w:val="single" w:color="D9C3A8" w:sz="4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19"/>
                <w:szCs w:val="19"/>
              </w:rPr>
              <w:t xml:space="preserve">Amenaza controlable</w:t>
            </w:r>
          </w:p>
        </w:tc>
        <w:tc>
          <w:tcPr>
            <w:tcW w:type="dxa" w:w="3383"/>
            <w:tcBorders>
              <w:top w:val="single" w:color="D9C3A8" w:sz="4"/>
              <w:left w:val="single" w:color="D9C3A8" w:sz="4"/>
              <w:bottom w:val="single" w:color="D9C3A8" w:sz="4"/>
              <w:right w:val="single" w:color="D9C3A8" w:sz="4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19"/>
                <w:szCs w:val="19"/>
              </w:rPr>
              <w:t xml:space="preserve">Se controla con las reglas ya decididas: no decir "previene la anemia" y no promocionar a menores de 16 años</w:t>
            </w:r>
          </w:p>
        </w:tc>
      </w:tr>
      <w:tr>
        <w:trPr>
          <w:tblHeader w:val="false"/>
        </w:trPr>
        <w:tc>
          <w:tcPr>
            <w:tcW w:type="dxa" w:w="1861"/>
            <w:tcBorders>
              <w:top w:val="single" w:color="D9C3A8" w:sz="4"/>
              <w:left w:val="single" w:color="D9C3A8" w:sz="4"/>
              <w:bottom w:val="single" w:color="D9C3A8" w:sz="4"/>
              <w:right w:val="single" w:color="D9C3A8" w:sz="4"/>
            </w:tcBorders>
            <w:shd w:fill="F7ECD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19"/>
                <w:szCs w:val="19"/>
              </w:rPr>
              <w:t xml:space="preserve">L4 Tributos</w:t>
            </w:r>
          </w:p>
        </w:tc>
        <w:tc>
          <w:tcPr>
            <w:tcW w:type="dxa" w:w="1014"/>
            <w:tcBorders>
              <w:top w:val="single" w:color="D9C3A8" w:sz="4"/>
              <w:left w:val="single" w:color="D9C3A8" w:sz="4"/>
              <w:bottom w:val="single" w:color="D9C3A8" w:sz="4"/>
              <w:right w:val="single" w:color="D9C3A8" w:sz="4"/>
            </w:tcBorders>
            <w:shd w:fill="F7ECD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19"/>
                <w:szCs w:val="19"/>
              </w:rPr>
              <w:t xml:space="preserve">Ambas</w:t>
            </w:r>
          </w:p>
        </w:tc>
        <w:tc>
          <w:tcPr>
            <w:tcW w:type="dxa" w:w="3102"/>
            <w:tcBorders>
              <w:top w:val="single" w:color="D9C3A8" w:sz="4"/>
              <w:left w:val="single" w:color="D9C3A8" w:sz="4"/>
              <w:bottom w:val="single" w:color="D9C3A8" w:sz="4"/>
              <w:right w:val="single" w:color="D9C3A8" w:sz="4"/>
            </w:tcBorders>
            <w:shd w:fill="F7ECD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19"/>
                <w:szCs w:val="19"/>
              </w:rPr>
              <w:t xml:space="preserve">Amenaza baja</w:t>
            </w:r>
          </w:p>
        </w:tc>
        <w:tc>
          <w:tcPr>
            <w:tcW w:type="dxa" w:w="3383"/>
            <w:tcBorders>
              <w:top w:val="single" w:color="D9C3A8" w:sz="4"/>
              <w:left w:val="single" w:color="D9C3A8" w:sz="4"/>
              <w:bottom w:val="single" w:color="D9C3A8" w:sz="4"/>
              <w:right w:val="single" w:color="D9C3A8" w:sz="4"/>
            </w:tcBorders>
            <w:shd w:fill="F7ECD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19"/>
                <w:szCs w:val="19"/>
              </w:rPr>
              <w:t xml:space="preserve">El régimen MYPE Tributario cobra sobre utilidad y es un costo que ya está en el plan</w:t>
            </w:r>
          </w:p>
        </w:tc>
      </w:tr>
    </w:tbl>
    <w:p>
      <w:pPr>
        <w:spacing w:after="80"/>
      </w:pPr>
    </w:p>
    <w:p>
      <w:pPr>
        <w:spacing w:after="120"/>
      </w:pPr>
      <w:r>
        <w:t xml:space="preserve">Se quedan igual: P1 (oportunidad), P3 (oportunidad, con la nota de que las ferias de noviembre no encajan con las fechas), E1 (amenaza), S1 y S2 (oportunidad), T1 y T3 (oportunidad), A1 y A3 (amenaza), L1 y L2 (amenaza).</w:t>
      </w:r>
    </w:p>
    <w:p>
      <w:pPr>
        <w:pStyle w:val="Heading1"/>
      </w:pPr>
      <w:r>
        <w:t xml:space="preserve">4. Correcciones concretas con frases listas para pegar</w:t>
      </w:r>
    </w:p>
    <w:p>
      <w:pPr>
        <w:spacing w:after="120"/>
      </w:pPr>
      <w:r>
        <w:t xml:space="preserve">Cada corrección dice qué cambiar y trae la frase nueva.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b/>
          <w:bCs/>
        </w:rPr>
        <w:t xml:space="preserve">Subtítulo del documento.</w:t>
      </w:r>
    </w:p>
    <w:p>
      <w:pPr>
        <w:pStyle w:val="ListParagraph"/>
        <w:numPr>
          <w:ilvl w:val="1"/>
          <w:numId w:val="2"/>
        </w:numPr>
        <w:spacing w:after="60"/>
      </w:pPr>
      <w:r>
        <w:t xml:space="preserve">Cambiar "Mini brownies con sangrecita, cañihua y cacao para loncheras infantiles" por:</w:t>
      </w:r>
    </w:p>
    <w:p>
      <w:pPr>
        <w:pStyle w:val="ListParagraph"/>
        <w:numPr>
          <w:ilvl w:val="1"/>
          <w:numId w:val="2"/>
        </w:numPr>
        <w:spacing w:after="60"/>
      </w:pPr>
      <w:r>
        <w:t xml:space="preserve">"Mini brownies de 20 g con sangrecita de res liofilizada y cacao para loncheras infantiles, en tres sabores: Chispa, Andi (con cañihua) y Lúcu (con lúcuma)."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b/>
          <w:bCs/>
        </w:rPr>
        <w:t xml:space="preserve">Inflación (E1).</w:t>
      </w:r>
    </w:p>
    <w:p>
      <w:pPr>
        <w:pStyle w:val="ListParagraph"/>
        <w:numPr>
          <w:ilvl w:val="1"/>
          <w:numId w:val="2"/>
        </w:numPr>
        <w:spacing w:after="60"/>
      </w:pPr>
      <w:r>
        <w:t xml:space="preserve">Cambiar "Inflación en Lima: 4,28 % acumulada a setiembre de 2026" por:</w:t>
      </w:r>
    </w:p>
    <w:p>
      <w:pPr>
        <w:pStyle w:val="ListParagraph"/>
        <w:numPr>
          <w:ilvl w:val="1"/>
          <w:numId w:val="2"/>
        </w:numPr>
        <w:spacing w:after="60"/>
      </w:pPr>
      <w:r>
        <w:t xml:space="preserve">"Inflación en Lima Metropolitana: 4.28 % acumulada de enero a setiembre de 2026 y unos 4.5 % en los últimos 12 meses, sobre el rango meta de 1 % a 3 % del BCRP (INEI, 1-oct-2026)."</w:t>
      </w:r>
    </w:p>
    <w:p>
      <w:pPr>
        <w:pStyle w:val="ListParagraph"/>
        <w:numPr>
          <w:ilvl w:val="1"/>
          <w:numId w:val="2"/>
        </w:numPr>
        <w:spacing w:after="60"/>
      </w:pPr>
      <w:r>
        <w:t xml:space="preserve">Frase para la matriz: "En setiembre los alimentos y bebidas bajaron 0.07 % y el alza vino del transporte por los combustibles. Los precios del plan de AndiBite no cambian; se vigilan los costos de insumos y transporte."</w:t>
      </w:r>
    </w:p>
    <w:p>
      <w:pPr>
        <w:pStyle w:val="ListParagraph"/>
        <w:numPr>
          <w:ilvl w:val="0"/>
          <w:numId w:val="5"/>
        </w:numPr>
        <w:spacing w:after="60"/>
      </w:pPr>
      <w:r>
        <w:rPr>
          <w:b/>
          <w:bCs/>
        </w:rPr>
        <w:t xml:space="preserve">Internet (T1).</w:t>
      </w:r>
    </w:p>
    <w:p>
      <w:pPr>
        <w:pStyle w:val="ListParagraph"/>
        <w:numPr>
          <w:ilvl w:val="1"/>
          <w:numId w:val="2"/>
        </w:numPr>
        <w:spacing w:after="60"/>
      </w:pPr>
      <w:r>
        <w:t xml:space="preserve">Mantener la cifra y agregar fuente: "El 82.7 % de los hogares de Lima Metropolitana tuvo internet en el primer trimestre de 2026, frente a 78.1 % un año antes (INEI, ENAHO, 26-jun-2026). El 91.5 % de quienes usan internet en Lima se conecta por celular."</w:t>
      </w:r>
    </w:p>
    <w:p>
      <w:pPr>
        <w:pStyle w:val="ListParagraph"/>
        <w:numPr>
          <w:ilvl w:val="0"/>
          <w:numId w:val="6"/>
        </w:numPr>
        <w:spacing w:after="60"/>
      </w:pPr>
      <w:r>
        <w:rPr>
          <w:b/>
          <w:bCs/>
        </w:rPr>
        <w:t xml:space="preserve">Ventas digitales (T3).</w:t>
      </w:r>
    </w:p>
    <w:p>
      <w:pPr>
        <w:pStyle w:val="ListParagraph"/>
        <w:numPr>
          <w:ilvl w:val="1"/>
          <w:numId w:val="2"/>
        </w:numPr>
        <w:spacing w:after="60"/>
      </w:pPr>
      <w:r>
        <w:t xml:space="preserve">Cambiar "Ventas y atención digital mediante redes y mensajería" por:</w:t>
      </w:r>
    </w:p>
    <w:p>
      <w:pPr>
        <w:pStyle w:val="ListParagraph"/>
        <w:numPr>
          <w:ilvl w:val="1"/>
          <w:numId w:val="2"/>
        </w:numPr>
        <w:spacing w:after="60"/>
      </w:pPr>
      <w:r>
        <w:t xml:space="preserve">"Recompra y atención por WhatsApp, QR en el envase y redes para llevar gente al stand. La venta principal es física; WhatsApp es para recompra, con entregas agrupadas 2 días por semana o recojo en el stand."</w:t>
      </w:r>
    </w:p>
    <w:p>
      <w:pPr>
        <w:pStyle w:val="ListParagraph"/>
        <w:numPr>
          <w:ilvl w:val="1"/>
          <w:numId w:val="2"/>
        </w:numPr>
        <w:spacing w:after="60"/>
      </w:pPr>
      <w:r>
        <w:t xml:space="preserve">En la matriz, cambiar "T3 digitalización de ventas" por "T3 recompra y atención digital".</w:t>
      </w:r>
    </w:p>
    <w:p>
      <w:pPr>
        <w:pStyle w:val="ListParagraph"/>
        <w:numPr>
          <w:ilvl w:val="0"/>
          <w:numId w:val="7"/>
        </w:numPr>
        <w:spacing w:after="60"/>
      </w:pPr>
      <w:r>
        <w:rPr>
          <w:b/>
          <w:bCs/>
        </w:rPr>
        <w:t xml:space="preserve">Políticas de anemia (P1).</w:t>
      </w:r>
    </w:p>
    <w:p>
      <w:pPr>
        <w:pStyle w:val="ListParagraph"/>
        <w:numPr>
          <w:ilvl w:val="1"/>
          <w:numId w:val="2"/>
        </w:numPr>
        <w:spacing w:after="60"/>
      </w:pPr>
      <w:r>
        <w:t xml:space="preserve">Cambiar "entorno favorable para informar sobre alimentos con aporte nutricional comprobado" por:</w:t>
      </w:r>
    </w:p>
    <w:p>
      <w:pPr>
        <w:pStyle w:val="ListParagraph"/>
        <w:numPr>
          <w:ilvl w:val="1"/>
          <w:numId w:val="2"/>
        </w:numPr>
        <w:spacing w:after="60"/>
      </w:pPr>
      <w:r>
        <w:t xml:space="preserve">"El Plan Multisectorial para la Prevención y Reducción de la Anemia Materno Infantil 2024-2030 (D.S. 002-2024-SA) mantiene el tema en la agenda pública. En 2025 la anemia afectó al 34.9 % de los niños de 6 a 35 meses (INEI, ENDES, 16-may-2026). AndiBite contribuye con hierro medido por lote; no promete prevenir la anemia."</w:t>
      </w:r>
    </w:p>
    <w:p>
      <w:pPr>
        <w:pStyle w:val="ListParagraph"/>
        <w:numPr>
          <w:ilvl w:val="0"/>
          <w:numId w:val="8"/>
        </w:numPr>
        <w:spacing w:after="60"/>
      </w:pPr>
      <w:r>
        <w:rPr>
          <w:b/>
          <w:bCs/>
        </w:rPr>
        <w:t xml:space="preserve">Alimentación saludable escolar (P2).</w:t>
      </w:r>
    </w:p>
    <w:p>
      <w:pPr>
        <w:pStyle w:val="ListParagraph"/>
        <w:numPr>
          <w:ilvl w:val="1"/>
          <w:numId w:val="2"/>
        </w:numPr>
        <w:spacing w:after="60"/>
      </w:pPr>
      <w:r>
        <w:t xml:space="preserve">"Los lineamientos del MINSA (RM 195-2019/MINSA) no permiten vender en quioscos escolares alimentos que superan los límites de azúcar, sodio, grasas saturadas o grasas trans. Es una oportunidad para AndiBite solo si el lote sale sin octógono, algo que se confirma en laboratorio [POR CONFIRMAR]."</w:t>
      </w:r>
    </w:p>
    <w:p>
      <w:pPr>
        <w:pStyle w:val="ListParagraph"/>
        <w:numPr>
          <w:ilvl w:val="0"/>
          <w:numId w:val="9"/>
        </w:numPr>
        <w:spacing w:after="60"/>
      </w:pPr>
      <w:r>
        <w:rPr>
          <w:b/>
          <w:bCs/>
        </w:rPr>
        <w:t xml:space="preserve">Apoyo a mypes (P3).</w:t>
      </w:r>
    </w:p>
    <w:p>
      <w:pPr>
        <w:pStyle w:val="ListParagraph"/>
        <w:numPr>
          <w:ilvl w:val="1"/>
          <w:numId w:val="2"/>
        </w:numPr>
        <w:spacing w:after="60"/>
      </w:pPr>
      <w:r>
        <w:t xml:space="preserve">"PRODUCE financiará cuatro ferias 'Perú Produce' del 11 al 16 de noviembre de 2026 para mypes seleccionadas (Agraria.pe, 23-sep-2026). Caen antes del lanzamiento y sus requisitos aún no se publican. La inscripción en el REMYPE es gratuita y da descuentos en INDECOPI."</w:t>
      </w:r>
    </w:p>
    <w:p>
      <w:pPr>
        <w:pStyle w:val="ListParagraph"/>
        <w:numPr>
          <w:ilvl w:val="0"/>
          <w:numId w:val="10"/>
        </w:numPr>
        <w:spacing w:after="60"/>
      </w:pPr>
      <w:r>
        <w:rPr>
          <w:b/>
          <w:bCs/>
        </w:rPr>
        <w:t xml:space="preserve">Cacao (E2).</w:t>
      </w:r>
    </w:p>
    <w:p>
      <w:pPr>
        <w:pStyle w:val="ListParagraph"/>
        <w:numPr>
          <w:ilvl w:val="1"/>
          <w:numId w:val="2"/>
        </w:numPr>
        <w:spacing w:after="60"/>
      </w:pPr>
      <w:r>
        <w:t xml:space="preserve">"El cacao cotizó a US$5,645 por tonelada el 16-oct-2026, 4.2 % menos que un año antes, pero con mucha variación (Trading Economics). Es una amenaza moderada, porque los precios de AndiBite no cambian."</w:t>
      </w:r>
    </w:p>
    <w:p>
      <w:pPr>
        <w:pStyle w:val="ListParagraph"/>
        <w:numPr>
          <w:ilvl w:val="0"/>
          <w:numId w:val="11"/>
        </w:numPr>
        <w:spacing w:after="60"/>
      </w:pPr>
      <w:r>
        <w:rPr>
          <w:b/>
          <w:bCs/>
        </w:rPr>
        <w:t xml:space="preserve">Poder adquisitivo (E3).</w:t>
      </w:r>
    </w:p>
    <w:p>
      <w:pPr>
        <w:pStyle w:val="ListParagraph"/>
        <w:numPr>
          <w:ilvl w:val="1"/>
          <w:numId w:val="2"/>
        </w:numPr>
        <w:spacing w:after="60"/>
      </w:pPr>
      <w:r>
        <w:t xml:space="preserve">"El ingreso mensual del hogar es de S/14,584 en el nivel A y S/7,787 en el B (APEIM 2025). Para el público A es una oportunidad; el público B compara el precio por brownie, por eso se le habla de 'una mañana menos' y del pack."</w:t>
      </w:r>
    </w:p>
    <w:p>
      <w:pPr>
        <w:pStyle w:val="ListParagraph"/>
        <w:numPr>
          <w:ilvl w:val="0"/>
          <w:numId w:val="12"/>
        </w:numPr>
        <w:spacing w:after="60"/>
      </w:pPr>
      <w:r>
        <w:rPr>
          <w:b/>
          <w:bCs/>
        </w:rPr>
        <w:t xml:space="preserve">Información clara (S3).</w:t>
      </w:r>
    </w:p>
    <w:p>
      <w:pPr>
        <w:pStyle w:val="ListParagraph"/>
        <w:numPr>
          <w:ilvl w:val="1"/>
          <w:numId w:val="2"/>
        </w:numPr>
        <w:spacing w:after="60"/>
      </w:pPr>
      <w:r>
        <w:t xml:space="preserve">"Hierro medido por lote y publicado en la app responde a la desconfianza hacia lo envasado. La norma técnica NTP 209.652:2025 de etiquetado nutricional se aprobó en agosto de 2026."</w:t>
      </w:r>
    </w:p>
    <w:p>
      <w:pPr>
        <w:pStyle w:val="ListParagraph"/>
        <w:numPr>
          <w:ilvl w:val="0"/>
          <w:numId w:val="13"/>
        </w:numPr>
        <w:spacing w:after="60"/>
      </w:pPr>
      <w:r>
        <w:rPr>
          <w:b/>
          <w:bCs/>
        </w:rPr>
        <w:t xml:space="preserve">Notas con asterisco.</w:t>
      </w:r>
    </w:p>
    <w:p>
      <w:pPr>
        <w:pStyle w:val="ListParagraph"/>
        <w:numPr>
          <w:ilvl w:val="1"/>
          <w:numId w:val="2"/>
        </w:numPr>
        <w:spacing w:after="60"/>
      </w:pPr>
      <w:r>
        <w:t xml:space="preserve">Para </w:t>
      </w:r>
      <w:r>
        <w:rPr>
          <w:rFonts w:ascii="Consolas" w:cs="Consolas" w:eastAsia="Consolas" w:hAnsi="Consolas"/>
          <w:color w:val="4A2018"/>
          <w:sz w:val="19"/>
          <w:szCs w:val="19"/>
        </w:rPr>
        <w:t xml:space="preserve">*</w:t>
      </w:r>
      <w:r>
        <w:t xml:space="preserve">: "Fuente: 10 entrevistas y el focus 1 de AndiBite con mamás de Lima Norte (NSE C/B). El focus 2 con degustación está hecho; los resultados están por cargar."</w:t>
      </w:r>
    </w:p>
    <w:p>
      <w:pPr>
        <w:pStyle w:val="ListParagraph"/>
        <w:numPr>
          <w:ilvl w:val="1"/>
          <w:numId w:val="2"/>
        </w:numPr>
        <w:spacing w:after="60"/>
      </w:pPr>
      <w:r>
        <w:t xml:space="preserve">Para </w:t>
      </w:r>
      <w:r>
        <w:rPr>
          <w:rFonts w:ascii="Consolas" w:cs="Consolas" w:eastAsia="Consolas" w:hAnsi="Consolas"/>
          <w:color w:val="4A2018"/>
          <w:sz w:val="19"/>
          <w:szCs w:val="19"/>
        </w:rPr>
        <w:t xml:space="preserve">**</w:t>
      </w:r>
      <w:r>
        <w:t xml:space="preserve">: "La vida útil objetivo es de 60 a 90 días a temperatura ambiente [HIPÓTESIS]; se confirma con un estudio de vida útil."</w:t>
      </w:r>
    </w:p>
    <w:p>
      <w:pPr>
        <w:pStyle w:val="ListParagraph"/>
        <w:numPr>
          <w:ilvl w:val="0"/>
          <w:numId w:val="14"/>
        </w:numPr>
        <w:spacing w:after="60"/>
      </w:pPr>
      <w:r>
        <w:rPr>
          <w:b/>
          <w:bCs/>
        </w:rPr>
        <w:t xml:space="preserve">Clima (A1).</w:t>
      </w:r>
    </w:p>
    <w:p>
      <w:pPr>
        <w:pStyle w:val="ListParagraph"/>
        <w:numPr>
          <w:ilvl w:val="1"/>
          <w:numId w:val="2"/>
        </w:numPr>
        <w:spacing w:after="60"/>
      </w:pPr>
      <w:r>
        <w:t xml:space="preserve">Cambiar "clima y cacao o cañihua" por:</w:t>
      </w:r>
    </w:p>
    <w:p>
      <w:pPr>
        <w:pStyle w:val="ListParagraph"/>
        <w:numPr>
          <w:ilvl w:val="1"/>
          <w:numId w:val="2"/>
        </w:numPr>
        <w:spacing w:after="60"/>
      </w:pPr>
      <w:r>
        <w:t xml:space="preserve">"Clima y cacao (los tres sabores); clima y cañihua (solo el sabor Andi). El ENFEN anunció un Niño costero de magnitud extraordinaria de setiembre de 2026 a mayo de 2027 [POR CONFIRMAR en el comunicado oficial 16-2026]."</w:t>
      </w:r>
    </w:p>
    <w:p>
      <w:pPr>
        <w:pStyle w:val="ListParagraph"/>
        <w:numPr>
          <w:ilvl w:val="0"/>
          <w:numId w:val="15"/>
        </w:numPr>
        <w:spacing w:after="60"/>
      </w:pPr>
      <w:r>
        <w:rPr>
          <w:b/>
          <w:bCs/>
        </w:rPr>
        <w:t xml:space="preserve">Residuos de envases (A2).</w:t>
      </w:r>
    </w:p>
    <w:p>
      <w:pPr>
        <w:pStyle w:val="ListParagraph"/>
        <w:numPr>
          <w:ilvl w:val="1"/>
          <w:numId w:val="2"/>
        </w:numPr>
        <w:spacing w:after="60"/>
      </w:pPr>
      <w:r>
        <w:t xml:space="preserve">"La Ley 30884 y su reglamento (D.S. 006-2019-MINAM) regulan el plástico de un solo uso y los envases descartables. AndiBite usa flow pack individual y caja de 6; falta confirmar si el flow pack entra en la ley [POR CONFIRMAR con Paty]."</w:t>
      </w:r>
    </w:p>
    <w:p>
      <w:pPr>
        <w:pStyle w:val="ListParagraph"/>
        <w:numPr>
          <w:ilvl w:val="0"/>
          <w:numId w:val="16"/>
        </w:numPr>
        <w:spacing w:after="60"/>
      </w:pPr>
      <w:r>
        <w:rPr>
          <w:b/>
          <w:bCs/>
        </w:rPr>
        <w:t xml:space="preserve">Requisitos sanitarios (L1).</w:t>
      </w:r>
    </w:p>
    <w:p>
      <w:pPr>
        <w:pStyle w:val="ListParagraph"/>
        <w:numPr>
          <w:ilvl w:val="1"/>
          <w:numId w:val="2"/>
        </w:numPr>
        <w:spacing w:after="60"/>
      </w:pPr>
      <w:r>
        <w:t xml:space="preserve">"El producto envasado con la marca AndiBite necesita su propio Registro Sanitario ante DIGESA. El trámite hoy no tiene tasa (D.S. 011-2026-SA, desde el 22-jul-2026); el costo está en los análisis de laboratorio y el estudio de vida útil."</w:t>
      </w:r>
    </w:p>
    <w:p>
      <w:pPr>
        <w:pStyle w:val="ListParagraph"/>
        <w:numPr>
          <w:ilvl w:val="0"/>
          <w:numId w:val="17"/>
        </w:numPr>
        <w:spacing w:after="60"/>
      </w:pPr>
      <w:r>
        <w:rPr>
          <w:b/>
          <w:bCs/>
        </w:rPr>
        <w:t xml:space="preserve">Octógonos (L2).</w:t>
      </w:r>
    </w:p>
    <w:p>
      <w:pPr>
        <w:pStyle w:val="ListParagraph"/>
        <w:numPr>
          <w:ilvl w:val="1"/>
          <w:numId w:val="2"/>
        </w:numPr>
        <w:spacing w:after="60"/>
      </w:pPr>
      <w:r>
        <w:t xml:space="preserve">Cambiar "Etiquetado y octógonos según composición final (Amenaza)" por:</w:t>
      </w:r>
    </w:p>
    <w:p>
      <w:pPr>
        <w:pStyle w:val="ListParagraph"/>
        <w:numPr>
          <w:ilvl w:val="1"/>
          <w:numId w:val="2"/>
        </w:numPr>
        <w:spacing w:after="60"/>
      </w:pPr>
      <w:r>
        <w:t xml:space="preserve">"Meta 'sin octógono' por confirmar en laboratorio. Un sólido lleva octógono desde 10 g de azúcar total por 100 g (Ley 30021 y Manual de Advertencias, vigente desde el 17-sep-2021). Con la receta reformulada (eritritol), la T1 calcula de 4.6 a 7.1 g por 100 g, bajo ese límite [POR CONFIRMAR en laboratorio]."</w:t>
      </w:r>
    </w:p>
    <w:p>
      <w:pPr>
        <w:pStyle w:val="ListParagraph"/>
        <w:numPr>
          <w:ilvl w:val="0"/>
          <w:numId w:val="18"/>
        </w:numPr>
        <w:spacing w:after="60"/>
      </w:pPr>
      <w:r>
        <w:rPr>
          <w:b/>
          <w:bCs/>
        </w:rPr>
        <w:t xml:space="preserve">Publicidad y datos (L3 y L4).</w:t>
      </w:r>
    </w:p>
    <w:p>
      <w:pPr>
        <w:pStyle w:val="ListParagraph"/>
        <w:numPr>
          <w:ilvl w:val="1"/>
          <w:numId w:val="2"/>
        </w:numPr>
        <w:spacing w:after="60"/>
      </w:pPr>
      <w:r>
        <w:t xml:space="preserve">"La publicidad dirigida a menores de 16 años tiene reglas en el art. 8 de la Ley 30021; AndiBite se dirige a padres y madres, y las muestras se entregan a los adultos. Los contactos de WhatsApp son datos personales y se rigen por la Ley 29733 y su nuevo reglamento (D.S. 016-2024-JUS)."</w:t>
      </w:r>
    </w:p>
    <w:p>
      <w:pPr>
        <w:pStyle w:val="ListParagraph"/>
        <w:numPr>
          <w:ilvl w:val="1"/>
          <w:numId w:val="2"/>
        </w:numPr>
        <w:spacing w:after="60"/>
      </w:pPr>
      <w:r>
        <w:t xml:space="preserve">"Los tributos de la venta formal (IGV de 18 % y régimen MYPE Tributario) ya están en el plan de costos."</w:t>
      </w:r>
    </w:p>
    <w:p>
      <w:pPr>
        <w:pStyle w:val="ListParagraph"/>
        <w:numPr>
          <w:ilvl w:val="0"/>
          <w:numId w:val="19"/>
        </w:numPr>
        <w:spacing w:after="60"/>
      </w:pPr>
      <w:r>
        <w:rPr>
          <w:b/>
          <w:bCs/>
        </w:rPr>
        <w:t xml:space="preserve">ODS.</w:t>
      </w:r>
    </w:p>
    <w:p>
      <w:pPr>
        <w:pStyle w:val="ListParagraph"/>
        <w:numPr>
          <w:ilvl w:val="1"/>
          <w:numId w:val="2"/>
        </w:numPr>
        <w:spacing w:after="60"/>
      </w:pPr>
      <w:r>
        <w:t xml:space="preserve">Agregar al final: "El PESTEL se alinea al ODS 2 (meta 2.2, fin de la malnutrición), con el ODS 3 (salud y bienestar) y el ODS 8 (trabajo decente) como complementarios. AndiBite contribuye; no acaba con la anemia."</w:t>
      </w:r>
    </w:p>
    <w:p>
      <w:pPr>
        <w:pStyle w:val="ListParagraph"/>
        <w:numPr>
          <w:ilvl w:val="0"/>
          <w:numId w:val="20"/>
        </w:numPr>
        <w:spacing w:after="60"/>
      </w:pPr>
      <w:r>
        <w:rPr>
          <w:b/>
          <w:bCs/>
        </w:rPr>
        <w:t xml:space="preserve">Cierre hacia el FODA.</w:t>
      </w:r>
    </w:p>
    <w:p>
      <w:pPr>
        <w:pStyle w:val="ListParagraph"/>
        <w:numPr>
          <w:ilvl w:val="1"/>
          <w:numId w:val="2"/>
        </w:numPr>
        <w:spacing w:after="60"/>
      </w:pPr>
      <w:r>
        <w:t xml:space="preserve">Agregar: "Pasan al FODA como oportunidades: P1, S1, S2, S3, T1 y T3. Pasan como amenazas: E1, E2, A1, L1, L2 y L3."</w:t>
      </w:r>
    </w:p>
    <w:p>
      <w:pPr>
        <w:pStyle w:val="ListParagraph"/>
        <w:numPr>
          <w:ilvl w:val="0"/>
          <w:numId w:val="21"/>
        </w:numPr>
        <w:spacing w:after="60"/>
      </w:pPr>
      <w:r>
        <w:rPr>
          <w:b/>
          <w:bCs/>
        </w:rPr>
        <w:t xml:space="preserve">Limpieza.</w:t>
      </w:r>
    </w:p>
    <w:p>
      <w:pPr>
        <w:pStyle w:val="ListParagraph"/>
        <w:numPr>
          <w:ilvl w:val="1"/>
          <w:numId w:val="2"/>
        </w:numPr>
        <w:spacing w:after="60"/>
      </w:pPr>
      <w:r>
        <w:t xml:space="preserve">Borrar la nota "DIANA: benchmark..." y los títulos vacíos "FODA" y "FODA CRUZADO" cuando Diana pegue las imágenes.</w:t>
      </w:r>
    </w:p>
    <w:p>
      <w:pPr>
        <w:pStyle w:val="Heading1"/>
      </w:pPr>
      <w:r>
        <w:t xml:space="preserve">5. Queda por confirmar o contradice otros documentos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Anemia:</w:t>
      </w:r>
      <w:r>
        <w:t xml:space="preserve"> ya está verificada en el tema #05. Lima Metropolitana 2024: 24.0 % en niños de 6 a 35 meses (ENDES 2024, criterio OMS 2024; con el criterio anterior sería 32.9 %). Perú 2025: 34.9 % (criterio OMS 2024). El indicador 2.2.3 de los ODS mide la anemia en mujeres de 15 a 49 años, no en niños. El dato de Lima Metropolitana 2025 sigue [POR CONFIRMAR].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Estudios de Ipsos y Kantar:</w:t>
      </w:r>
      <w:r>
        <w:t xml:space="preserve"> el tema #05 ya trae los enlaces: Ipsos Perú (21-feb-2025) para el 83 % y Kantar (2025) para el 42 %.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Ley 31919 y D.S. 017-2023-SA:</w:t>
      </w:r>
      <w:r>
        <w:t xml:space="preserve"> el documento 03 dice que permiten adhesivos para octógonos a las mypes. Mis búsquedas no lo confirmaron; está en el documento 03 con enlaces [POR CONFIRMAR].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Límites de los octógonos:</w:t>
      </w:r>
      <w:r>
        <w:t xml:space="preserve"> los de 10 g de azúcar, 400 mg de sodio y 4 g de grasas saturadas vienen de una nota de Gestión de 2021 y del documento 03. En 2022 hubo un proyecto de cambio; si se aprobó, los límites serían otros [POR CONFIRMAR en El Peruano].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ENFEN:</w:t>
      </w:r>
      <w:r>
        <w:t xml:space="preserve"> la cifra del Niño costero sale de una nota de prensa; falta leer el comunicado oficial N.° 16-2026 [POR CONFIRMAR].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Cacao de Ghana y cañihua:</w:t>
      </w:r>
      <w:r>
        <w:t xml:space="preserve"> la caída prevista en Ghana viene de una nota secundaria; no hallé ningún dato de cañihua [POR CONFIRMAR].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Coherencia del equipo:</w:t>
      </w:r>
      <w:r>
        <w:t xml:space="preserve"> el documento 03 todavía conserva un cálculo viejo de unos 14 g de azúcar por 100 g. No se usa. Manda HECHOS_v7: de 4.6 a 7.1 g con la receta reformulada, por confirmar en laboratorio.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Encabezado:</w:t>
      </w:r>
      <w:r>
        <w:t xml:space="preserve"> la segunda línea de este informe sigue lo pedido para esta tarea, sin la leyenda "Propuesta para revisar" de la regla 6.</w:t>
      </w:r>
    </w:p>
    <w:p>
      <w:pPr>
        <w:pStyle w:val="Heading1"/>
      </w:pPr>
      <w:r>
        <w:t xml:space="preserve">6. Revisión del Benchmark (#2) y del FODA (#4) de Diana</w:t>
      </w:r>
    </w:p>
    <w:p>
      <w:pPr>
        <w:spacing w:after="120"/>
      </w:pPr>
      <w:r>
        <w:t xml:space="preserve">Diana, gracias: la estructura del benchmark y del FODA es muy buena y cubre lo que pide la clase. Lo que toca ahora es limpiar los datos que inventó la IA (AI Studio) y alinear todo con HECHOS_v7. Revisamos las 4 capturas del Drive y las 2 del FODA cruzado que envió Carlos (transcritas en </w:t>
      </w:r>
      <w:r>
        <w:rPr>
          <w:rFonts w:ascii="Consolas" w:cs="Consolas" w:eastAsia="Consolas" w:hAnsi="Consolas"/>
          <w:color w:val="4A2018"/>
          <w:sz w:val="19"/>
          <w:szCs w:val="19"/>
        </w:rPr>
        <w:t xml:space="preserve">04-reformulacion/T2/img/diana/foda_cruzado_transcripcion.md</w:t>
      </w:r>
      <w:r>
        <w:t xml:space="preserve">). Verificamos los competidores en sus tiendas oficiales el 19-oct-2026.</w:t>
      </w:r>
    </w:p>
    <w:p>
      <w:pPr>
        <w:pStyle w:val="Heading2"/>
      </w:pPr>
      <w:r>
        <w:t xml:space="preserve">6.1 Qué cubre y si está completo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67"/>
        <w:gridCol w:w="2764"/>
        <w:gridCol w:w="2764"/>
        <w:gridCol w:w="2765"/>
      </w:tblGrid>
      <w:tr>
        <w:trPr>
          <w:tblHeader/>
        </w:trPr>
        <w:tc>
          <w:tcPr>
            <w:tcW w:type="dxa" w:w="1067"/>
            <w:tcBorders>
              <w:top w:val="single" w:color="D9C3A8" w:sz="4"/>
              <w:left w:val="single" w:color="D9C3A8" w:sz="4"/>
              <w:bottom w:val="single" w:color="D9C3A8" w:sz="4"/>
              <w:right w:val="single" w:color="D9C3A8" w:sz="4"/>
            </w:tcBorders>
            <w:shd w:fill="4A2018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Entregable</w:t>
            </w:r>
          </w:p>
        </w:tc>
        <w:tc>
          <w:tcPr>
            <w:tcW w:type="dxa" w:w="2764"/>
            <w:tcBorders>
              <w:top w:val="single" w:color="D9C3A8" w:sz="4"/>
              <w:left w:val="single" w:color="D9C3A8" w:sz="4"/>
              <w:bottom w:val="single" w:color="D9C3A8" w:sz="4"/>
              <w:right w:val="single" w:color="D9C3A8" w:sz="4"/>
            </w:tcBorders>
            <w:shd w:fill="4A2018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Qué pide la clase o el grupo</w:t>
            </w:r>
          </w:p>
        </w:tc>
        <w:tc>
          <w:tcPr>
            <w:tcW w:type="dxa" w:w="2764"/>
            <w:tcBorders>
              <w:top w:val="single" w:color="D9C3A8" w:sz="4"/>
              <w:left w:val="single" w:color="D9C3A8" w:sz="4"/>
              <w:bottom w:val="single" w:color="D9C3A8" w:sz="4"/>
              <w:right w:val="single" w:color="D9C3A8" w:sz="4"/>
            </w:tcBorders>
            <w:shd w:fill="4A2018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Qué tiene</w:t>
            </w:r>
          </w:p>
        </w:tc>
        <w:tc>
          <w:tcPr>
            <w:tcW w:type="dxa" w:w="2765"/>
            <w:tcBorders>
              <w:top w:val="single" w:color="D9C3A8" w:sz="4"/>
              <w:left w:val="single" w:color="D9C3A8" w:sz="4"/>
              <w:bottom w:val="single" w:color="D9C3A8" w:sz="4"/>
              <w:right w:val="single" w:color="D9C3A8" w:sz="4"/>
            </w:tcBorders>
            <w:shd w:fill="4A2018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Qué falta</w:t>
            </w:r>
          </w:p>
        </w:tc>
      </w:tr>
      <w:tr>
        <w:trPr>
          <w:tblHeader w:val="false"/>
        </w:trPr>
        <w:tc>
          <w:tcPr>
            <w:tcW w:type="dxa" w:w="1067"/>
            <w:tcBorders>
              <w:top w:val="single" w:color="D9C3A8" w:sz="4"/>
              <w:left w:val="single" w:color="D9C3A8" w:sz="4"/>
              <w:bottom w:val="single" w:color="D9C3A8" w:sz="4"/>
              <w:right w:val="single" w:color="D9C3A8" w:sz="4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19"/>
                <w:szCs w:val="19"/>
              </w:rPr>
              <w:t xml:space="preserve">Benchmark (#2)</w:t>
            </w:r>
          </w:p>
        </w:tc>
        <w:tc>
          <w:tcPr>
            <w:tcW w:type="dxa" w:w="2764"/>
            <w:tcBorders>
              <w:top w:val="single" w:color="D9C3A8" w:sz="4"/>
              <w:left w:val="single" w:color="D9C3A8" w:sz="4"/>
              <w:bottom w:val="single" w:color="D9C3A8" w:sz="4"/>
              <w:right w:val="single" w:color="D9C3A8" w:sz="4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19"/>
                <w:szCs w:val="19"/>
              </w:rPr>
              <w:t xml:space="preserve">Parte del análisis situacional; mínimo 3 competidores (nota del grupo en el Drive)</w:t>
            </w:r>
          </w:p>
        </w:tc>
        <w:tc>
          <w:tcPr>
            <w:tcW w:type="dxa" w:w="2764"/>
            <w:tcBorders>
              <w:top w:val="single" w:color="D9C3A8" w:sz="4"/>
              <w:left w:val="single" w:color="D9C3A8" w:sz="4"/>
              <w:bottom w:val="single" w:color="D9C3A8" w:sz="4"/>
              <w:right w:val="single" w:color="D9C3A8" w:sz="4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19"/>
                <w:szCs w:val="19"/>
              </w:rPr>
              <w:t xml:space="preserve">4 competidores y 12 criterios: formato, precio, precio por porción y por kg, hierro, ingredientes, octógonos, textura, sabor, empaque y territorio</w:t>
            </w:r>
          </w:p>
        </w:tc>
        <w:tc>
          <w:tcPr>
            <w:tcW w:type="dxa" w:w="2765"/>
            <w:tcBorders>
              <w:top w:val="single" w:color="D9C3A8" w:sz="4"/>
              <w:left w:val="single" w:color="D9C3A8" w:sz="4"/>
              <w:bottom w:val="single" w:color="D9C3A8" w:sz="4"/>
              <w:right w:val="single" w:color="D9C3A8" w:sz="4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19"/>
                <w:szCs w:val="19"/>
              </w:rPr>
              <w:t xml:space="preserve">Fuente y fecha de cada precio; 1 de los 4 competidores no se pudo verificar como está descrito (Forticao); faltan los competidores del #10 (Fika, Mamalama y Bimbo Nutra Bien)</w:t>
            </w:r>
          </w:p>
        </w:tc>
      </w:tr>
      <w:tr>
        <w:trPr>
          <w:tblHeader w:val="false"/>
        </w:trPr>
        <w:tc>
          <w:tcPr>
            <w:tcW w:type="dxa" w:w="1067"/>
            <w:tcBorders>
              <w:top w:val="single" w:color="D9C3A8" w:sz="4"/>
              <w:left w:val="single" w:color="D9C3A8" w:sz="4"/>
              <w:bottom w:val="single" w:color="D9C3A8" w:sz="4"/>
              <w:right w:val="single" w:color="D9C3A8" w:sz="4"/>
            </w:tcBorders>
            <w:shd w:fill="F7ECD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19"/>
                <w:szCs w:val="19"/>
              </w:rPr>
              <w:t xml:space="preserve">FODA (#4)</w:t>
            </w:r>
          </w:p>
        </w:tc>
        <w:tc>
          <w:tcPr>
            <w:tcW w:type="dxa" w:w="2764"/>
            <w:tcBorders>
              <w:top w:val="single" w:color="D9C3A8" w:sz="4"/>
              <w:left w:val="single" w:color="D9C3A8" w:sz="4"/>
              <w:bottom w:val="single" w:color="D9C3A8" w:sz="4"/>
              <w:right w:val="single" w:color="D9C3A8" w:sz="4"/>
            </w:tcBorders>
            <w:shd w:fill="F7ECD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19"/>
                <w:szCs w:val="19"/>
              </w:rPr>
              <w:t xml:space="preserve">La "brújula estratégica" del plan</w:t>
            </w:r>
          </w:p>
        </w:tc>
        <w:tc>
          <w:tcPr>
            <w:tcW w:type="dxa" w:w="2764"/>
            <w:tcBorders>
              <w:top w:val="single" w:color="D9C3A8" w:sz="4"/>
              <w:left w:val="single" w:color="D9C3A8" w:sz="4"/>
              <w:bottom w:val="single" w:color="D9C3A8" w:sz="4"/>
              <w:right w:val="single" w:color="D9C3A8" w:sz="4"/>
            </w:tcBorders>
            <w:shd w:fill="F7ECD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19"/>
                <w:szCs w:val="19"/>
              </w:rPr>
              <w:t xml:space="preserve">6 fortalezas, 5 debilidades, 5 oportunidades y 5 amenazas</w:t>
            </w:r>
          </w:p>
        </w:tc>
        <w:tc>
          <w:tcPr>
            <w:tcW w:type="dxa" w:w="2765"/>
            <w:tcBorders>
              <w:top w:val="single" w:color="D9C3A8" w:sz="4"/>
              <w:left w:val="single" w:color="D9C3A8" w:sz="4"/>
              <w:bottom w:val="single" w:color="D9C3A8" w:sz="4"/>
              <w:right w:val="single" w:color="D9C3A8" w:sz="4"/>
            </w:tcBorders>
            <w:shd w:fill="F7ECD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19"/>
                <w:szCs w:val="19"/>
              </w:rPr>
              <w:t xml:space="preserve">Fuentes; separar lo interno de lo externo (O3 y A4 están mezclados); conectar las O y A con el PESTEL de Angie</w:t>
            </w:r>
          </w:p>
        </w:tc>
      </w:tr>
      <w:tr>
        <w:trPr>
          <w:tblHeader w:val="false"/>
        </w:trPr>
        <w:tc>
          <w:tcPr>
            <w:tcW w:type="dxa" w:w="1067"/>
            <w:tcBorders>
              <w:top w:val="single" w:color="D9C3A8" w:sz="4"/>
              <w:left w:val="single" w:color="D9C3A8" w:sz="4"/>
              <w:bottom w:val="single" w:color="D9C3A8" w:sz="4"/>
              <w:right w:val="single" w:color="D9C3A8" w:sz="4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19"/>
                <w:szCs w:val="19"/>
              </w:rPr>
              <w:t xml:space="preserve">FODA cruzado (#4)</w:t>
            </w:r>
          </w:p>
        </w:tc>
        <w:tc>
          <w:tcPr>
            <w:tcW w:type="dxa" w:w="2764"/>
            <w:tcBorders>
              <w:top w:val="single" w:color="D9C3A8" w:sz="4"/>
              <w:left w:val="single" w:color="D9C3A8" w:sz="4"/>
              <w:bottom w:val="single" w:color="D9C3A8" w:sz="4"/>
              <w:right w:val="single" w:color="D9C3A8" w:sz="4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19"/>
                <w:szCs w:val="19"/>
              </w:rPr>
              <w:t xml:space="preserve">Cruzar el FODA para sacar estrategias</w:t>
            </w:r>
          </w:p>
        </w:tc>
        <w:tc>
          <w:tcPr>
            <w:tcW w:type="dxa" w:w="2764"/>
            <w:tcBorders>
              <w:top w:val="single" w:color="D9C3A8" w:sz="4"/>
              <w:left w:val="single" w:color="D9C3A8" w:sz="4"/>
              <w:bottom w:val="single" w:color="D9C3A8" w:sz="4"/>
              <w:right w:val="single" w:color="D9C3A8" w:sz="4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19"/>
                <w:szCs w:val="19"/>
              </w:rPr>
              <w:t xml:space="preserve">15 estrategias: FO1 a FO4, DO1 a DO4, FA1 a FA4 y DA1 a DA3</w:t>
            </w:r>
          </w:p>
        </w:tc>
        <w:tc>
          <w:tcPr>
            <w:tcW w:type="dxa" w:w="2765"/>
            <w:tcBorders>
              <w:top w:val="single" w:color="D9C3A8" w:sz="4"/>
              <w:left w:val="single" w:color="D9C3A8" w:sz="4"/>
              <w:bottom w:val="single" w:color="D9C3A8" w:sz="4"/>
              <w:right w:val="single" w:color="D9C3A8" w:sz="4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19"/>
                <w:szCs w:val="19"/>
              </w:rPr>
              <w:t xml:space="preserve">Pegarlo en el Drive (el título está vacío); corregir cruces y frases que chocan con el plan (sección 6.5)</w:t>
            </w:r>
          </w:p>
        </w:tc>
      </w:tr>
      <w:tr>
        <w:trPr>
          <w:tblHeader w:val="false"/>
        </w:trPr>
        <w:tc>
          <w:tcPr>
            <w:tcW w:type="dxa" w:w="1067"/>
            <w:tcBorders>
              <w:top w:val="single" w:color="D9C3A8" w:sz="4"/>
              <w:left w:val="single" w:color="D9C3A8" w:sz="4"/>
              <w:bottom w:val="single" w:color="D9C3A8" w:sz="4"/>
              <w:right w:val="single" w:color="D9C3A8" w:sz="4"/>
            </w:tcBorders>
            <w:shd w:fill="F7ECD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19"/>
                <w:szCs w:val="19"/>
              </w:rPr>
              <w:t xml:space="preserve">Uso crítico de IA</w:t>
            </w:r>
          </w:p>
        </w:tc>
        <w:tc>
          <w:tcPr>
            <w:tcW w:type="dxa" w:w="2764"/>
            <w:tcBorders>
              <w:top w:val="single" w:color="D9C3A8" w:sz="4"/>
              <w:left w:val="single" w:color="D9C3A8" w:sz="4"/>
              <w:bottom w:val="single" w:color="D9C3A8" w:sz="4"/>
              <w:right w:val="single" w:color="D9C3A8" w:sz="4"/>
            </w:tcBorders>
            <w:shd w:fill="F7ECD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19"/>
                <w:szCs w:val="19"/>
              </w:rPr>
              <w:t xml:space="preserve">La unidad pide "uso crítico de IA generativa"</w:t>
            </w:r>
          </w:p>
        </w:tc>
        <w:tc>
          <w:tcPr>
            <w:tcW w:type="dxa" w:w="2764"/>
            <w:tcBorders>
              <w:top w:val="single" w:color="D9C3A8" w:sz="4"/>
              <w:left w:val="single" w:color="D9C3A8" w:sz="4"/>
              <w:bottom w:val="single" w:color="D9C3A8" w:sz="4"/>
              <w:right w:val="single" w:color="D9C3A8" w:sz="4"/>
            </w:tcBorders>
            <w:shd w:fill="F7ECD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19"/>
                <w:szCs w:val="19"/>
              </w:rPr>
              <w:t xml:space="preserve">Se hizo con AI Studio</w:t>
            </w:r>
          </w:p>
        </w:tc>
        <w:tc>
          <w:tcPr>
            <w:tcW w:type="dxa" w:w="2765"/>
            <w:tcBorders>
              <w:top w:val="single" w:color="D9C3A8" w:sz="4"/>
              <w:left w:val="single" w:color="D9C3A8" w:sz="4"/>
              <w:bottom w:val="single" w:color="D9C3A8" w:sz="4"/>
              <w:right w:val="single" w:color="D9C3A8" w:sz="4"/>
            </w:tcBorders>
            <w:shd w:fill="F7ECD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19"/>
                <w:szCs w:val="19"/>
              </w:rPr>
              <w:t xml:space="preserve">Decir en el documento que se usó IA y qué se corrigió (esta sección sirve para eso)</w:t>
            </w:r>
          </w:p>
        </w:tc>
      </w:tr>
    </w:tbl>
    <w:p>
      <w:pPr>
        <w:spacing w:after="80"/>
      </w:pPr>
    </w:p>
    <w:p>
      <w:pPr>
        <w:pStyle w:val="Heading2"/>
      </w:pPr>
      <w:r>
        <w:t xml:space="preserve">6.2 Benchmark: la columna de AndiBite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50"/>
        <w:gridCol w:w="3155"/>
        <w:gridCol w:w="3155"/>
      </w:tblGrid>
      <w:tr>
        <w:trPr>
          <w:tblHeader/>
        </w:trPr>
        <w:tc>
          <w:tcPr>
            <w:tcW w:type="dxa" w:w="3050"/>
            <w:tcBorders>
              <w:top w:val="single" w:color="D9C3A8" w:sz="4"/>
              <w:left w:val="single" w:color="D9C3A8" w:sz="4"/>
              <w:bottom w:val="single" w:color="D9C3A8" w:sz="4"/>
              <w:right w:val="single" w:color="D9C3A8" w:sz="4"/>
            </w:tcBorders>
            <w:shd w:fill="4A2018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Dice</w:t>
            </w:r>
          </w:p>
        </w:tc>
        <w:tc>
          <w:tcPr>
            <w:tcW w:type="dxa" w:w="3155"/>
            <w:tcBorders>
              <w:top w:val="single" w:color="D9C3A8" w:sz="4"/>
              <w:left w:val="single" w:color="D9C3A8" w:sz="4"/>
              <w:bottom w:val="single" w:color="D9C3A8" w:sz="4"/>
              <w:right w:val="single" w:color="D9C3A8" w:sz="4"/>
            </w:tcBorders>
            <w:shd w:fill="4A2018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Debe decir</w:t>
            </w:r>
          </w:p>
        </w:tc>
        <w:tc>
          <w:tcPr>
            <w:tcW w:type="dxa" w:w="3155"/>
            <w:tcBorders>
              <w:top w:val="single" w:color="D9C3A8" w:sz="4"/>
              <w:left w:val="single" w:color="D9C3A8" w:sz="4"/>
              <w:bottom w:val="single" w:color="D9C3A8" w:sz="4"/>
              <w:right w:val="single" w:color="D9C3A8" w:sz="4"/>
            </w:tcBorders>
            <w:shd w:fill="4A2018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Fuente</w:t>
            </w:r>
          </w:p>
        </w:tc>
      </w:tr>
      <w:tr>
        <w:trPr>
          <w:tblHeader w:val="false"/>
        </w:trPr>
        <w:tc>
          <w:tcPr>
            <w:tcW w:type="dxa" w:w="3050"/>
            <w:tcBorders>
              <w:top w:val="single" w:color="D9C3A8" w:sz="4"/>
              <w:left w:val="single" w:color="D9C3A8" w:sz="4"/>
              <w:bottom w:val="single" w:color="D9C3A8" w:sz="4"/>
              <w:right w:val="single" w:color="D9C3A8" w:sz="4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19"/>
                <w:szCs w:val="19"/>
              </w:rPr>
              <w:t xml:space="preserve">"6 x 20 g (120 g) · S/10.00" y "Precio de venta: S/10.00"</w:t>
            </w:r>
          </w:p>
        </w:tc>
        <w:tc>
          <w:tcPr>
            <w:tcW w:type="dxa" w:w="3155"/>
            <w:tcBorders>
              <w:top w:val="single" w:color="D9C3A8" w:sz="4"/>
              <w:left w:val="single" w:color="D9C3A8" w:sz="4"/>
              <w:bottom w:val="single" w:color="D9C3A8" w:sz="4"/>
              <w:right w:val="single" w:color="D9C3A8" w:sz="4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19"/>
                <w:szCs w:val="19"/>
              </w:rPr>
              <w:t xml:space="preserve">Pack de 6 (120 g): S/27.90 en stand y ferias; S/26.90 por WhatsApp. Las otras presentaciones: unidad S/6.00 (solo físico), caja de 3 sabores S/16.50 en stand o S/12.00 por WhatsApp, pack de 12 S/51.90 o S/49.90</w:t>
            </w:r>
          </w:p>
        </w:tc>
        <w:tc>
          <w:tcPr>
            <w:tcW w:type="dxa" w:w="3155"/>
            <w:tcBorders>
              <w:top w:val="single" w:color="D9C3A8" w:sz="4"/>
              <w:left w:val="single" w:color="D9C3A8" w:sz="4"/>
              <w:bottom w:val="single" w:color="D9C3A8" w:sz="4"/>
              <w:right w:val="single" w:color="D9C3A8" w:sz="4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19"/>
                <w:szCs w:val="19"/>
              </w:rPr>
              <w:t xml:space="preserve">HECHOS_v7, tabla de precios; Excel v7, hoja Supuestos, sección 5</w:t>
            </w:r>
          </w:p>
        </w:tc>
      </w:tr>
      <w:tr>
        <w:trPr>
          <w:tblHeader w:val="false"/>
        </w:trPr>
        <w:tc>
          <w:tcPr>
            <w:tcW w:type="dxa" w:w="3050"/>
            <w:tcBorders>
              <w:top w:val="single" w:color="D9C3A8" w:sz="4"/>
              <w:left w:val="single" w:color="D9C3A8" w:sz="4"/>
              <w:bottom w:val="single" w:color="D9C3A8" w:sz="4"/>
              <w:right w:val="single" w:color="D9C3A8" w:sz="4"/>
            </w:tcBorders>
            <w:shd w:fill="F7ECD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19"/>
                <w:szCs w:val="19"/>
              </w:rPr>
              <w:t xml:space="preserve">"S/1.67 por mini brownie"</w:t>
            </w:r>
          </w:p>
        </w:tc>
        <w:tc>
          <w:tcPr>
            <w:tcW w:type="dxa" w:w="3155"/>
            <w:tcBorders>
              <w:top w:val="single" w:color="D9C3A8" w:sz="4"/>
              <w:left w:val="single" w:color="D9C3A8" w:sz="4"/>
              <w:bottom w:val="single" w:color="D9C3A8" w:sz="4"/>
              <w:right w:val="single" w:color="D9C3A8" w:sz="4"/>
            </w:tcBorders>
            <w:shd w:fill="F7ECD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19"/>
                <w:szCs w:val="19"/>
              </w:rPr>
              <w:t xml:space="preserve">S/4.65 por brownie (pack de 6 en stand), S/4.48 (pack de 6 por WhatsApp) y S/4.16 (pack de 12 por WhatsApp). S/1.64 es el costo de producción por brownie, no el precio</w:t>
            </w:r>
          </w:p>
        </w:tc>
        <w:tc>
          <w:tcPr>
            <w:tcW w:type="dxa" w:w="3155"/>
            <w:tcBorders>
              <w:top w:val="single" w:color="D9C3A8" w:sz="4"/>
              <w:left w:val="single" w:color="D9C3A8" w:sz="4"/>
              <w:bottom w:val="single" w:color="D9C3A8" w:sz="4"/>
              <w:right w:val="single" w:color="D9C3A8" w:sz="4"/>
            </w:tcBorders>
            <w:shd w:fill="F7ECD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19"/>
                <w:szCs w:val="19"/>
              </w:rPr>
              <w:t xml:space="preserve">HECHOS_v7; Excel v7, hoja Costeo</w:t>
            </w:r>
          </w:p>
        </w:tc>
      </w:tr>
      <w:tr>
        <w:trPr>
          <w:tblHeader w:val="false"/>
        </w:trPr>
        <w:tc>
          <w:tcPr>
            <w:tcW w:type="dxa" w:w="3050"/>
            <w:tcBorders>
              <w:top w:val="single" w:color="D9C3A8" w:sz="4"/>
              <w:left w:val="single" w:color="D9C3A8" w:sz="4"/>
              <w:bottom w:val="single" w:color="D9C3A8" w:sz="4"/>
              <w:right w:val="single" w:color="D9C3A8" w:sz="4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19"/>
                <w:szCs w:val="19"/>
              </w:rPr>
              <w:t xml:space="preserve">"S/83.33/kg (Excelente valor)"</w:t>
            </w:r>
          </w:p>
        </w:tc>
        <w:tc>
          <w:tcPr>
            <w:tcW w:type="dxa" w:w="3155"/>
            <w:tcBorders>
              <w:top w:val="single" w:color="D9C3A8" w:sz="4"/>
              <w:left w:val="single" w:color="D9C3A8" w:sz="4"/>
              <w:bottom w:val="single" w:color="D9C3A8" w:sz="4"/>
              <w:right w:val="single" w:color="D9C3A8" w:sz="4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19"/>
                <w:szCs w:val="19"/>
              </w:rPr>
              <w:t xml:space="preserve">S/232.50 por kg (pack de 6 en stand), S/224.17 (pack de 6 por WhatsApp) y S/207.92 (pack de 12 por WhatsApp). AndiBite es de los más caros por gramo: es un precio premium, no "excelente valor"</w:t>
            </w:r>
          </w:p>
        </w:tc>
        <w:tc>
          <w:tcPr>
            <w:tcW w:type="dxa" w:w="3155"/>
            <w:tcBorders>
              <w:top w:val="single" w:color="D9C3A8" w:sz="4"/>
              <w:left w:val="single" w:color="D9C3A8" w:sz="4"/>
              <w:bottom w:val="single" w:color="D9C3A8" w:sz="4"/>
              <w:right w:val="single" w:color="D9C3A8" w:sz="4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19"/>
                <w:szCs w:val="19"/>
              </w:rPr>
              <w:t xml:space="preserve">Cálculo: S/27.90 ÷ 0.12 kg; S/26.90 ÷ 0.12 kg; S/49.90 ÷ 0.24 kg</w:t>
            </w:r>
          </w:p>
        </w:tc>
      </w:tr>
      <w:tr>
        <w:trPr>
          <w:tblHeader w:val="false"/>
        </w:trPr>
        <w:tc>
          <w:tcPr>
            <w:tcW w:type="dxa" w:w="3050"/>
            <w:tcBorders>
              <w:top w:val="single" w:color="D9C3A8" w:sz="4"/>
              <w:left w:val="single" w:color="D9C3A8" w:sz="4"/>
              <w:bottom w:val="single" w:color="D9C3A8" w:sz="4"/>
              <w:right w:val="single" w:color="D9C3A8" w:sz="4"/>
            </w:tcBorders>
            <w:shd w:fill="F7ECD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19"/>
                <w:szCs w:val="19"/>
              </w:rPr>
              <w:t xml:space="preserve">"Doypack 120 g (6 mini brownies x 20 g)"</w:t>
            </w:r>
          </w:p>
        </w:tc>
        <w:tc>
          <w:tcPr>
            <w:tcW w:type="dxa" w:w="3155"/>
            <w:tcBorders>
              <w:top w:val="single" w:color="D9C3A8" w:sz="4"/>
              <w:left w:val="single" w:color="D9C3A8" w:sz="4"/>
              <w:bottom w:val="single" w:color="D9C3A8" w:sz="4"/>
              <w:right w:val="single" w:color="D9C3A8" w:sz="4"/>
            </w:tcBorders>
            <w:shd w:fill="F7ECD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19"/>
                <w:szCs w:val="19"/>
              </w:rPr>
              <w:t xml:space="preserve">Correcto. Cada brownie va en su bolsita individual (flow pack) dentro de un doypack kraft con zipper</w:t>
            </w:r>
          </w:p>
        </w:tc>
        <w:tc>
          <w:tcPr>
            <w:tcW w:type="dxa" w:w="3155"/>
            <w:tcBorders>
              <w:top w:val="single" w:color="D9C3A8" w:sz="4"/>
              <w:left w:val="single" w:color="D9C3A8" w:sz="4"/>
              <w:bottom w:val="single" w:color="D9C3A8" w:sz="4"/>
              <w:right w:val="single" w:color="D9C3A8" w:sz="4"/>
            </w:tcBorders>
            <w:shd w:fill="F7ECD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19"/>
                <w:szCs w:val="19"/>
              </w:rPr>
              <w:t xml:space="preserve">Documento 05, sección 3; Excel v7, hoja Costeo (opción B)</w:t>
            </w:r>
          </w:p>
        </w:tc>
      </w:tr>
      <w:tr>
        <w:trPr>
          <w:tblHeader w:val="false"/>
        </w:trPr>
        <w:tc>
          <w:tcPr>
            <w:tcW w:type="dxa" w:w="3050"/>
            <w:tcBorders>
              <w:top w:val="single" w:color="D9C3A8" w:sz="4"/>
              <w:left w:val="single" w:color="D9C3A8" w:sz="4"/>
              <w:bottom w:val="single" w:color="D9C3A8" w:sz="4"/>
              <w:right w:val="single" w:color="D9C3A8" w:sz="4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19"/>
                <w:szCs w:val="19"/>
              </w:rPr>
              <w:t xml:space="preserve">"Hierro hemínico (sangrecita natural, absorción 20-30 %)"</w:t>
            </w:r>
          </w:p>
        </w:tc>
        <w:tc>
          <w:tcPr>
            <w:tcW w:type="dxa" w:w="3155"/>
            <w:tcBorders>
              <w:top w:val="single" w:color="D9C3A8" w:sz="4"/>
              <w:left w:val="single" w:color="D9C3A8" w:sz="4"/>
              <w:bottom w:val="single" w:color="D9C3A8" w:sz="4"/>
              <w:right w:val="single" w:color="D9C3A8" w:sz="4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19"/>
                <w:szCs w:val="19"/>
              </w:rPr>
              <w:t xml:space="preserve">Hierro hemo de sangrecita de res en polvo liofilizada. Para la absorción, citar a la FAO y la OMS: el hierro hemo de comidas con carne se absorbe en promedio un 25 % (de 10 % a 40 % según las reservas de hierro de la persona). La absorción dentro del brownie no se ha medido [POR CONFIRMAR]</w:t>
            </w:r>
          </w:p>
        </w:tc>
        <w:tc>
          <w:tcPr>
            <w:tcW w:type="dxa" w:w="3155"/>
            <w:tcBorders>
              <w:top w:val="single" w:color="D9C3A8" w:sz="4"/>
              <w:left w:val="single" w:color="D9C3A8" w:sz="4"/>
              <w:bottom w:val="single" w:color="D9C3A8" w:sz="4"/>
              <w:right w:val="single" w:color="D9C3A8" w:sz="4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19"/>
                <w:szCs w:val="19"/>
              </w:rPr>
              <w:t xml:space="preserve">FAO/OMS, Vitamin and mineral requirements in human nutrition, 2.ª ed., 2004, capítulo 13</w:t>
            </w:r>
          </w:p>
        </w:tc>
      </w:tr>
      <w:tr>
        <w:trPr>
          <w:tblHeader w:val="false"/>
        </w:trPr>
        <w:tc>
          <w:tcPr>
            <w:tcW w:type="dxa" w:w="3050"/>
            <w:tcBorders>
              <w:top w:val="single" w:color="D9C3A8" w:sz="4"/>
              <w:left w:val="single" w:color="D9C3A8" w:sz="4"/>
              <w:bottom w:val="single" w:color="D9C3A8" w:sz="4"/>
              <w:right w:val="single" w:color="D9C3A8" w:sz="4"/>
            </w:tcBorders>
            <w:shd w:fill="F7ECD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19"/>
                <w:szCs w:val="19"/>
              </w:rPr>
              <w:t xml:space="preserve">"14 mg por porción de 40 g (2 brownies)"</w:t>
            </w:r>
          </w:p>
        </w:tc>
        <w:tc>
          <w:tcPr>
            <w:tcW w:type="dxa" w:w="3155"/>
            <w:tcBorders>
              <w:top w:val="single" w:color="D9C3A8" w:sz="4"/>
              <w:left w:val="single" w:color="D9C3A8" w:sz="4"/>
              <w:bottom w:val="single" w:color="D9C3A8" w:sz="4"/>
              <w:right w:val="single" w:color="D9C3A8" w:sz="4"/>
            </w:tcBorders>
            <w:shd w:fill="F7ECD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19"/>
                <w:szCs w:val="19"/>
              </w:rPr>
              <w:t xml:space="preserve">Unos 1.9 mg por brownie de 20 g, según un cálculo hecho con sangrecita cocida [POR CONFIRMAR en laboratorio]</w:t>
            </w:r>
          </w:p>
        </w:tc>
        <w:tc>
          <w:tcPr>
            <w:tcW w:type="dxa" w:w="3155"/>
            <w:tcBorders>
              <w:top w:val="single" w:color="D9C3A8" w:sz="4"/>
              <w:left w:val="single" w:color="D9C3A8" w:sz="4"/>
              <w:bottom w:val="single" w:color="D9C3A8" w:sz="4"/>
              <w:right w:val="single" w:color="D9C3A8" w:sz="4"/>
            </w:tcBorders>
            <w:shd w:fill="F7ECD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19"/>
                <w:szCs w:val="19"/>
              </w:rPr>
              <w:t xml:space="preserve">HECHOS_v7, Producto</w:t>
            </w:r>
          </w:p>
        </w:tc>
      </w:tr>
      <w:tr>
        <w:trPr>
          <w:tblHeader w:val="false"/>
        </w:trPr>
        <w:tc>
          <w:tcPr>
            <w:tcW w:type="dxa" w:w="3050"/>
            <w:tcBorders>
              <w:top w:val="single" w:color="D9C3A8" w:sz="4"/>
              <w:left w:val="single" w:color="D9C3A8" w:sz="4"/>
              <w:bottom w:val="single" w:color="D9C3A8" w:sz="4"/>
              <w:right w:val="single" w:color="D9C3A8" w:sz="4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19"/>
                <w:szCs w:val="19"/>
              </w:rPr>
              <w:t xml:space="preserve">"Cañihua andina + cacao fino de aroma"</w:t>
            </w:r>
          </w:p>
        </w:tc>
        <w:tc>
          <w:tcPr>
            <w:tcW w:type="dxa" w:w="3155"/>
            <w:tcBorders>
              <w:top w:val="single" w:color="D9C3A8" w:sz="4"/>
              <w:left w:val="single" w:color="D9C3A8" w:sz="4"/>
              <w:bottom w:val="single" w:color="D9C3A8" w:sz="4"/>
              <w:right w:val="single" w:color="D9C3A8" w:sz="4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19"/>
                <w:szCs w:val="19"/>
              </w:rPr>
              <w:t xml:space="preserve">Cacao en los 3 sabores; cañihua solo en el sabor Andi; lúcuma en el sabor Lúcu. "Cacao fino de aroma" no está en la receta [POR CONFIRMAR con Diana y la planta]</w:t>
            </w:r>
          </w:p>
        </w:tc>
        <w:tc>
          <w:tcPr>
            <w:tcW w:type="dxa" w:w="3155"/>
            <w:tcBorders>
              <w:top w:val="single" w:color="D9C3A8" w:sz="4"/>
              <w:left w:val="single" w:color="D9C3A8" w:sz="4"/>
              <w:bottom w:val="single" w:color="D9C3A8" w:sz="4"/>
              <w:right w:val="single" w:color="D9C3A8" w:sz="4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19"/>
                <w:szCs w:val="19"/>
              </w:rPr>
              <w:t xml:space="preserve">HECHOS_v7, Sabores; documento 02</w:t>
            </w:r>
          </w:p>
        </w:tc>
      </w:tr>
      <w:tr>
        <w:trPr>
          <w:tblHeader w:val="false"/>
        </w:trPr>
        <w:tc>
          <w:tcPr>
            <w:tcW w:type="dxa" w:w="3050"/>
            <w:tcBorders>
              <w:top w:val="single" w:color="D9C3A8" w:sz="4"/>
              <w:left w:val="single" w:color="D9C3A8" w:sz="4"/>
              <w:bottom w:val="single" w:color="D9C3A8" w:sz="4"/>
              <w:right w:val="single" w:color="D9C3A8" w:sz="4"/>
            </w:tcBorders>
            <w:shd w:fill="F7ECD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19"/>
                <w:szCs w:val="19"/>
              </w:rPr>
              <w:t xml:space="preserve">"0 octógonos (100 % libre de advertencias)"</w:t>
            </w:r>
          </w:p>
        </w:tc>
        <w:tc>
          <w:tcPr>
            <w:tcW w:type="dxa" w:w="3155"/>
            <w:tcBorders>
              <w:top w:val="single" w:color="D9C3A8" w:sz="4"/>
              <w:left w:val="single" w:color="D9C3A8" w:sz="4"/>
              <w:bottom w:val="single" w:color="D9C3A8" w:sz="4"/>
              <w:right w:val="single" w:color="D9C3A8" w:sz="4"/>
            </w:tcBorders>
            <w:shd w:fill="F7ECD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19"/>
                <w:szCs w:val="19"/>
              </w:rPr>
              <w:t xml:space="preserve">Meta sin octógono: con la receta reformulada (eritritol) la T1 calcula de 4.6 a 7.1 g de azúcar por 100 g; el límite es 10 g [POR CONFIRMAR en laboratorio]</w:t>
            </w:r>
          </w:p>
        </w:tc>
        <w:tc>
          <w:tcPr>
            <w:tcW w:type="dxa" w:w="3155"/>
            <w:tcBorders>
              <w:top w:val="single" w:color="D9C3A8" w:sz="4"/>
              <w:left w:val="single" w:color="D9C3A8" w:sz="4"/>
              <w:bottom w:val="single" w:color="D9C3A8" w:sz="4"/>
              <w:right w:val="single" w:color="D9C3A8" w:sz="4"/>
            </w:tcBorders>
            <w:shd w:fill="F7ECD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19"/>
                <w:szCs w:val="19"/>
              </w:rPr>
              <w:t xml:space="preserve">HECHOS_v7; Ley 30021 y Manual de Advertencias (D.S. 012-2018-SA)</w:t>
            </w:r>
          </w:p>
        </w:tc>
      </w:tr>
      <w:tr>
        <w:trPr>
          <w:tblHeader w:val="false"/>
        </w:trPr>
        <w:tc>
          <w:tcPr>
            <w:tcW w:type="dxa" w:w="3050"/>
            <w:tcBorders>
              <w:top w:val="single" w:color="D9C3A8" w:sz="4"/>
              <w:left w:val="single" w:color="D9C3A8" w:sz="4"/>
              <w:bottom w:val="single" w:color="D9C3A8" w:sz="4"/>
              <w:right w:val="single" w:color="D9C3A8" w:sz="4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19"/>
                <w:szCs w:val="19"/>
              </w:rPr>
              <w:t xml:space="preserve">"Brownie artesanal suave, húmedo y fudgy"</w:t>
            </w:r>
          </w:p>
        </w:tc>
        <w:tc>
          <w:tcPr>
            <w:tcW w:type="dxa" w:w="3155"/>
            <w:tcBorders>
              <w:top w:val="single" w:color="D9C3A8" w:sz="4"/>
              <w:left w:val="single" w:color="D9C3A8" w:sz="4"/>
              <w:bottom w:val="single" w:color="D9C3A8" w:sz="4"/>
              <w:right w:val="single" w:color="D9C3A8" w:sz="4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19"/>
                <w:szCs w:val="19"/>
              </w:rPr>
              <w:t xml:space="preserve">Brownie húmedo y suave (fudgy, por el aceite de girasol de la receta). No es "artesanal": lo hornea una planta de maquila. La textura final se confirma con el focus 2 [POR CONFIRMAR]</w:t>
            </w:r>
          </w:p>
        </w:tc>
        <w:tc>
          <w:tcPr>
            <w:tcW w:type="dxa" w:w="3155"/>
            <w:tcBorders>
              <w:top w:val="single" w:color="D9C3A8" w:sz="4"/>
              <w:left w:val="single" w:color="D9C3A8" w:sz="4"/>
              <w:bottom w:val="single" w:color="D9C3A8" w:sz="4"/>
              <w:right w:val="single" w:color="D9C3A8" w:sz="4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19"/>
                <w:szCs w:val="19"/>
              </w:rPr>
              <w:t xml:space="preserve">Documento 01; HECHOS_v7, Fabricación</w:t>
            </w:r>
          </w:p>
        </w:tc>
      </w:tr>
      <w:tr>
        <w:trPr>
          <w:tblHeader w:val="false"/>
        </w:trPr>
        <w:tc>
          <w:tcPr>
            <w:tcW w:type="dxa" w:w="3050"/>
            <w:tcBorders>
              <w:top w:val="single" w:color="D9C3A8" w:sz="4"/>
              <w:left w:val="single" w:color="D9C3A8" w:sz="4"/>
              <w:bottom w:val="single" w:color="D9C3A8" w:sz="4"/>
              <w:right w:val="single" w:color="D9C3A8" w:sz="4"/>
            </w:tcBorders>
            <w:shd w:fill="F7ECD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19"/>
                <w:szCs w:val="19"/>
              </w:rPr>
              <w:t xml:space="preserve">"100 % enmascarado con cacao y cañihua"</w:t>
            </w:r>
          </w:p>
        </w:tc>
        <w:tc>
          <w:tcPr>
            <w:tcW w:type="dxa" w:w="3155"/>
            <w:tcBorders>
              <w:top w:val="single" w:color="D9C3A8" w:sz="4"/>
              <w:left w:val="single" w:color="D9C3A8" w:sz="4"/>
              <w:bottom w:val="single" w:color="D9C3A8" w:sz="4"/>
              <w:right w:val="single" w:color="D9C3A8" w:sz="4"/>
            </w:tcBorders>
            <w:shd w:fill="F7ECD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19"/>
                <w:szCs w:val="19"/>
              </w:rPr>
              <w:t xml:space="preserve">Meta: que la sangrecita no se sienta. Las entrevistas y el focus 1 dicen que la sangrecita se acepta escondida en algo dulce; el focus 2 con degustación está hecho y sus resultados están por cargar [POR CONFIRMAR]</w:t>
            </w:r>
          </w:p>
        </w:tc>
        <w:tc>
          <w:tcPr>
            <w:tcW w:type="dxa" w:w="3155"/>
            <w:tcBorders>
              <w:top w:val="single" w:color="D9C3A8" w:sz="4"/>
              <w:left w:val="single" w:color="D9C3A8" w:sz="4"/>
              <w:bottom w:val="single" w:color="D9C3A8" w:sz="4"/>
              <w:right w:val="single" w:color="D9C3A8" w:sz="4"/>
            </w:tcBorders>
            <w:shd w:fill="F7ECD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19"/>
                <w:szCs w:val="19"/>
              </w:rPr>
              <w:t xml:space="preserve">HECHOS_v7, Evidencia</w:t>
            </w:r>
          </w:p>
        </w:tc>
      </w:tr>
      <w:tr>
        <w:trPr>
          <w:tblHeader w:val="false"/>
        </w:trPr>
        <w:tc>
          <w:tcPr>
            <w:tcW w:type="dxa" w:w="3050"/>
            <w:tcBorders>
              <w:top w:val="single" w:color="D9C3A8" w:sz="4"/>
              <w:left w:val="single" w:color="D9C3A8" w:sz="4"/>
              <w:bottom w:val="single" w:color="D9C3A8" w:sz="4"/>
              <w:right w:val="single" w:color="D9C3A8" w:sz="4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19"/>
                <w:szCs w:val="19"/>
              </w:rPr>
              <w:t xml:space="preserve">"Doypack kraft con zipper reutilizable (varias meriendas)"</w:t>
            </w:r>
          </w:p>
        </w:tc>
        <w:tc>
          <w:tcPr>
            <w:tcW w:type="dxa" w:w="3155"/>
            <w:tcBorders>
              <w:top w:val="single" w:color="D9C3A8" w:sz="4"/>
              <w:left w:val="single" w:color="D9C3A8" w:sz="4"/>
              <w:bottom w:val="single" w:color="D9C3A8" w:sz="4"/>
              <w:right w:val="single" w:color="D9C3A8" w:sz="4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19"/>
                <w:szCs w:val="19"/>
              </w:rPr>
              <w:t xml:space="preserve">Correcto, con un ajuste: el zipper sirve para guardar el pack en casa; a la lonchera va cada brownie en su bolsita sellada, sin frío</w:t>
            </w:r>
          </w:p>
        </w:tc>
        <w:tc>
          <w:tcPr>
            <w:tcW w:type="dxa" w:w="3155"/>
            <w:tcBorders>
              <w:top w:val="single" w:color="D9C3A8" w:sz="4"/>
              <w:left w:val="single" w:color="D9C3A8" w:sz="4"/>
              <w:bottom w:val="single" w:color="D9C3A8" w:sz="4"/>
              <w:right w:val="single" w:color="D9C3A8" w:sz="4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19"/>
                <w:szCs w:val="19"/>
              </w:rPr>
              <w:t xml:space="preserve">Documento 05; #10, matriz de atributos</w:t>
            </w:r>
          </w:p>
        </w:tc>
      </w:tr>
      <w:tr>
        <w:trPr>
          <w:tblHeader w:val="false"/>
        </w:trPr>
        <w:tc>
          <w:tcPr>
            <w:tcW w:type="dxa" w:w="3050"/>
            <w:tcBorders>
              <w:top w:val="single" w:color="D9C3A8" w:sz="4"/>
              <w:left w:val="single" w:color="D9C3A8" w:sz="4"/>
              <w:bottom w:val="single" w:color="D9C3A8" w:sz="4"/>
              <w:right w:val="single" w:color="D9C3A8" w:sz="4"/>
            </w:tcBorders>
            <w:shd w:fill="F7ECD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19"/>
                <w:szCs w:val="19"/>
              </w:rPr>
              <w:t xml:space="preserve">"Indulgencia saludable andina para lonchera"</w:t>
            </w:r>
          </w:p>
        </w:tc>
        <w:tc>
          <w:tcPr>
            <w:tcW w:type="dxa" w:w="3155"/>
            <w:tcBorders>
              <w:top w:val="single" w:color="D9C3A8" w:sz="4"/>
              <w:left w:val="single" w:color="D9C3A8" w:sz="4"/>
              <w:bottom w:val="single" w:color="D9C3A8" w:sz="4"/>
              <w:right w:val="single" w:color="D9C3A8" w:sz="4"/>
            </w:tcBorders>
            <w:shd w:fill="F7ECD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19"/>
                <w:szCs w:val="19"/>
              </w:rPr>
              <w:t xml:space="preserve">Territorio decidido en el #10: "Medido, no prometido". Slogan del #11: "Hierro medido. Sabor a brownie."</w:t>
            </w:r>
          </w:p>
        </w:tc>
        <w:tc>
          <w:tcPr>
            <w:tcW w:type="dxa" w:w="3155"/>
            <w:tcBorders>
              <w:top w:val="single" w:color="D9C3A8" w:sz="4"/>
              <w:left w:val="single" w:color="D9C3A8" w:sz="4"/>
              <w:bottom w:val="single" w:color="D9C3A8" w:sz="4"/>
              <w:right w:val="single" w:color="D9C3A8" w:sz="4"/>
            </w:tcBorders>
            <w:shd w:fill="F7ECD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19"/>
                <w:szCs w:val="19"/>
              </w:rPr>
              <w:t xml:space="preserve">HECHOS_v7, Plan de marketing; T2_10</w:t>
            </w:r>
          </w:p>
        </w:tc>
      </w:tr>
    </w:tbl>
    <w:p>
      <w:pPr>
        <w:spacing w:after="80"/>
      </w:pPr>
    </w:p>
    <w:p>
      <w:pPr>
        <w:pStyle w:val="Heading2"/>
      </w:pPr>
      <w:r>
        <w:t xml:space="preserve">6.3 Benchmark: los competidores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84"/>
        <w:gridCol w:w="2838"/>
        <w:gridCol w:w="2838"/>
        <w:gridCol w:w="2600"/>
      </w:tblGrid>
      <w:tr>
        <w:trPr>
          <w:tblHeader/>
        </w:trPr>
        <w:tc>
          <w:tcPr>
            <w:tcW w:type="dxa" w:w="1084"/>
            <w:tcBorders>
              <w:top w:val="single" w:color="D9C3A8" w:sz="4"/>
              <w:left w:val="single" w:color="D9C3A8" w:sz="4"/>
              <w:bottom w:val="single" w:color="D9C3A8" w:sz="4"/>
              <w:right w:val="single" w:color="D9C3A8" w:sz="4"/>
            </w:tcBorders>
            <w:shd w:fill="4A2018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Competidor</w:t>
            </w:r>
          </w:p>
        </w:tc>
        <w:tc>
          <w:tcPr>
            <w:tcW w:type="dxa" w:w="2838"/>
            <w:tcBorders>
              <w:top w:val="single" w:color="D9C3A8" w:sz="4"/>
              <w:left w:val="single" w:color="D9C3A8" w:sz="4"/>
              <w:bottom w:val="single" w:color="D9C3A8" w:sz="4"/>
              <w:right w:val="single" w:color="D9C3A8" w:sz="4"/>
            </w:tcBorders>
            <w:shd w:fill="4A2018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Dice</w:t>
            </w:r>
          </w:p>
        </w:tc>
        <w:tc>
          <w:tcPr>
            <w:tcW w:type="dxa" w:w="2838"/>
            <w:tcBorders>
              <w:top w:val="single" w:color="D9C3A8" w:sz="4"/>
              <w:left w:val="single" w:color="D9C3A8" w:sz="4"/>
              <w:bottom w:val="single" w:color="D9C3A8" w:sz="4"/>
              <w:right w:val="single" w:color="D9C3A8" w:sz="4"/>
            </w:tcBorders>
            <w:shd w:fill="4A2018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Lo que encontramos (19-oct-2026)</w:t>
            </w:r>
          </w:p>
        </w:tc>
        <w:tc>
          <w:tcPr>
            <w:tcW w:type="dxa" w:w="2600"/>
            <w:tcBorders>
              <w:top w:val="single" w:color="D9C3A8" w:sz="4"/>
              <w:left w:val="single" w:color="D9C3A8" w:sz="4"/>
              <w:bottom w:val="single" w:color="D9C3A8" w:sz="4"/>
              <w:right w:val="single" w:color="D9C3A8" w:sz="4"/>
            </w:tcBorders>
            <w:shd w:fill="4A2018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¿Verificado?</w:t>
            </w:r>
          </w:p>
        </w:tc>
      </w:tr>
      <w:tr>
        <w:trPr>
          <w:tblHeader w:val="false"/>
        </w:trPr>
        <w:tc>
          <w:tcPr>
            <w:tcW w:type="dxa" w:w="1084"/>
            <w:tcBorders>
              <w:top w:val="single" w:color="D9C3A8" w:sz="4"/>
              <w:left w:val="single" w:color="D9C3A8" w:sz="4"/>
              <w:bottom w:val="single" w:color="D9C3A8" w:sz="4"/>
              <w:right w:val="single" w:color="D9C3A8" w:sz="4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Nutri H</w:t>
            </w:r>
          </w:p>
        </w:tc>
        <w:tc>
          <w:tcPr>
            <w:tcW w:type="dxa" w:w="2838"/>
            <w:tcBorders>
              <w:top w:val="single" w:color="D9C3A8" w:sz="4"/>
              <w:left w:val="single" w:color="D9C3A8" w:sz="4"/>
              <w:bottom w:val="single" w:color="D9C3A8" w:sz="4"/>
              <w:right w:val="single" w:color="D9C3A8" w:sz="4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19"/>
                <w:szCs w:val="19"/>
              </w:rPr>
              <w:t xml:space="preserve">"Flowpack 30 g, S/4.00 la unidad"; "S/133.33/kg"; "16.5 mg por paquete de 30 g"; "quinua + kiwicha + cacao"; "0 octógonos"; "galleta compacta, seca y dura"; "leve retrogusto ferroso"</w:t>
            </w:r>
          </w:p>
        </w:tc>
        <w:tc>
          <w:tcPr>
            <w:tcW w:type="dxa" w:w="2838"/>
            <w:tcBorders>
              <w:top w:val="single" w:color="D9C3A8" w:sz="4"/>
              <w:left w:val="single" w:color="D9C3A8" w:sz="4"/>
              <w:bottom w:val="single" w:color="D9C3A8" w:sz="4"/>
              <w:right w:val="single" w:color="D9C3A8" w:sz="4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19"/>
                <w:szCs w:val="19"/>
              </w:rPr>
              <w:t xml:space="preserve">Galleta clásica, caja de 30 unidades (300 g) a S/48.00: S/1.60 por galleta, S/3.20 por 20 g y S/160 por kg. También hay un "Sixpack" a S/10.00 (sin peso publicado). No encontramos un flow pack de 30 g a S/4.00. Ingredientes: harina de quinua, harina de kiwicha, harina de trigo fortificada, hemoglobina bovina, pasta de cacao y ajonjolí, entre otros. Declara "Hierro: 16.5 mg" sin decir la porción; la galleta vegetariana (sin hemoglobina) declara el mismo número, así que puede ser por 100 g [POR CONFIRMAR en el empaque]. Octógonos: no aparecen en la web [POR CONFIRMAR en el empaque]. Textura y sabor: opinión, no dato [POR CONFIRMAR con degustación]</w:t>
            </w:r>
          </w:p>
        </w:tc>
        <w:tc>
          <w:tcPr>
            <w:tcW w:type="dxa" w:w="2600"/>
            <w:tcBorders>
              <w:top w:val="single" w:color="D9C3A8" w:sz="4"/>
              <w:left w:val="single" w:color="D9C3A8" w:sz="4"/>
              <w:bottom w:val="single" w:color="D9C3A8" w:sz="4"/>
              <w:right w:val="single" w:color="D9C3A8" w:sz="4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19"/>
                <w:szCs w:val="19"/>
              </w:rPr>
              <w:t xml:space="preserve">Sí existe; formato y precio de Diana no</w:t>
            </w:r>
          </w:p>
        </w:tc>
      </w:tr>
      <w:tr>
        <w:trPr>
          <w:tblHeader w:val="false"/>
        </w:trPr>
        <w:tc>
          <w:tcPr>
            <w:tcW w:type="dxa" w:w="1084"/>
            <w:tcBorders>
              <w:top w:val="single" w:color="D9C3A8" w:sz="4"/>
              <w:left w:val="single" w:color="D9C3A8" w:sz="4"/>
              <w:bottom w:val="single" w:color="D9C3A8" w:sz="4"/>
              <w:right w:val="single" w:color="D9C3A8" w:sz="4"/>
            </w:tcBorders>
            <w:shd w:fill="F7ECD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Forticao</w:t>
            </w:r>
          </w:p>
        </w:tc>
        <w:tc>
          <w:tcPr>
            <w:tcW w:type="dxa" w:w="2838"/>
            <w:tcBorders>
              <w:top w:val="single" w:color="D9C3A8" w:sz="4"/>
              <w:left w:val="single" w:color="D9C3A8" w:sz="4"/>
              <w:bottom w:val="single" w:color="D9C3A8" w:sz="4"/>
              <w:right w:val="single" w:color="D9C3A8" w:sz="4"/>
            </w:tcBorders>
            <w:shd w:fill="F7ECD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19"/>
                <w:szCs w:val="19"/>
              </w:rPr>
              <w:t xml:space="preserve">"Directo farmacia; barra individual de 40 g a S/30.50; S/762.50/kg; hemoglobina bovina; 12.0 mg por barra; cacao al 65 %; blíster clínico; 0 a 1 octógono"</w:t>
            </w:r>
          </w:p>
        </w:tc>
        <w:tc>
          <w:tcPr>
            <w:tcW w:type="dxa" w:w="2838"/>
            <w:tcBorders>
              <w:top w:val="single" w:color="D9C3A8" w:sz="4"/>
              <w:left w:val="single" w:color="D9C3A8" w:sz="4"/>
              <w:bottom w:val="single" w:color="D9C3A8" w:sz="4"/>
              <w:right w:val="single" w:color="D9C3A8" w:sz="4"/>
            </w:tcBorders>
            <w:shd w:fill="F7ECD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19"/>
                <w:szCs w:val="19"/>
              </w:rPr>
              <w:t xml:space="preserve">Marca peruana de WAALA Industrias Nutricional y Cosmética, con apoyo de la Universidad Peruana Cayetano Heredia. Su web describe "Forticao Chocolate: chocolate de leche fortificado con hierro hemínico" y "Forticao Polvo: cacao en polvo fortificado con hierro hemínico". Tienda en línea: chocolate x 40 a S/70.00 y x 12 a S/25.00; polvo de 80 g a S/60.00, de 100 g a S/55.00 y de 320 g a S/165.00. Andina (2016) dice que cada chocolatito pesa 10 g: S/3.50 a S/4.17 por 20 g [POR CONFIRMAR el peso actual]. La Cámara de Comercio de Lima (18-jul-2025) dice que se vende en Inkafarma y Mifarma [POR CONFIRMAR hoy]. No encontramos una barra de 40 g, ni el precio de S/30.50, ni los 12 mg, ni "cacao al 65 %" (es chocolate de leche)</w:t>
            </w:r>
          </w:p>
        </w:tc>
        <w:tc>
          <w:tcPr>
            <w:tcW w:type="dxa" w:w="2600"/>
            <w:tcBorders>
              <w:top w:val="single" w:color="D9C3A8" w:sz="4"/>
              <w:left w:val="single" w:color="D9C3A8" w:sz="4"/>
              <w:bottom w:val="single" w:color="D9C3A8" w:sz="4"/>
              <w:right w:val="single" w:color="D9C3A8" w:sz="4"/>
            </w:tcBorders>
            <w:shd w:fill="F7ECD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19"/>
                <w:szCs w:val="19"/>
              </w:rPr>
              <w:t xml:space="preserve">Sí existe; formato, precio y hierro de Diana no</w:t>
            </w:r>
          </w:p>
        </w:tc>
      </w:tr>
      <w:tr>
        <w:trPr>
          <w:tblHeader w:val="false"/>
        </w:trPr>
        <w:tc>
          <w:tcPr>
            <w:tcW w:type="dxa" w:w="1084"/>
            <w:tcBorders>
              <w:top w:val="single" w:color="D9C3A8" w:sz="4"/>
              <w:left w:val="single" w:color="D9C3A8" w:sz="4"/>
              <w:bottom w:val="single" w:color="D9C3A8" w:sz="4"/>
              <w:right w:val="single" w:color="D9C3A8" w:sz="4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La Purita</w:t>
            </w:r>
          </w:p>
        </w:tc>
        <w:tc>
          <w:tcPr>
            <w:tcW w:type="dxa" w:w="2838"/>
            <w:tcBorders>
              <w:top w:val="single" w:color="D9C3A8" w:sz="4"/>
              <w:left w:val="single" w:color="D9C3A8" w:sz="4"/>
              <w:bottom w:val="single" w:color="D9C3A8" w:sz="4"/>
              <w:right w:val="single" w:color="D9C3A8" w:sz="4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19"/>
                <w:szCs w:val="19"/>
              </w:rPr>
              <w:t xml:space="preserve">"Pack 160 g (8 unidades x 20 g), S/16.90, S/2.11 por brownie"; "hierro no hemínico, absorción 2-5 %"; "1.6 mg"; "cacao orgánico + sal de Maras"; "pack kraft para refrigeración"</w:t>
            </w:r>
          </w:p>
        </w:tc>
        <w:tc>
          <w:tcPr>
            <w:tcW w:type="dxa" w:w="2838"/>
            <w:tcBorders>
              <w:top w:val="single" w:color="D9C3A8" w:sz="4"/>
              <w:left w:val="single" w:color="D9C3A8" w:sz="4"/>
              <w:bottom w:val="single" w:color="D9C3A8" w:sz="4"/>
              <w:right w:val="single" w:color="D9C3A8" w:sz="4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19"/>
                <w:szCs w:val="19"/>
              </w:rPr>
              <w:t xml:space="preserve">Brownies (8 Pack) en lapurita.com: S/16.90 precio regular (S/11.83 en oferta el 19-oct-2026), S/2.11 por brownie. Veganos, con frejoles, panela, cacao en polvo, girasol, linaza y sal de Maras. Producto congelado, solo Lima Metropolitana. Peso por brownie no publicado [POR CONFIRMAR los 160 g]. Su tabla nutricional dice "Hierro 5 %" del valor diario por porción de 2 brownies, sin mg [POR CONFIRMAR los 1.6 mg]. "Cacao orgánico" no aparece. El hierro de frejoles es no hemo; la FAO y la OMS dan un rango amplio de absorción (5 % a 40 % en comidas sueltas), no "2 a 5 %"</w:t>
            </w:r>
          </w:p>
        </w:tc>
        <w:tc>
          <w:tcPr>
            <w:tcW w:type="dxa" w:w="2600"/>
            <w:tcBorders>
              <w:top w:val="single" w:color="D9C3A8" w:sz="4"/>
              <w:left w:val="single" w:color="D9C3A8" w:sz="4"/>
              <w:bottom w:val="single" w:color="D9C3A8" w:sz="4"/>
              <w:right w:val="single" w:color="D9C3A8" w:sz="4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19"/>
                <w:szCs w:val="19"/>
              </w:rPr>
              <w:t xml:space="preserve">Sí existe; precio correcto; peso y hierro por confirmar</w:t>
            </w:r>
          </w:p>
        </w:tc>
      </w:tr>
      <w:tr>
        <w:trPr>
          <w:tblHeader w:val="false"/>
        </w:trPr>
        <w:tc>
          <w:tcPr>
            <w:tcW w:type="dxa" w:w="1084"/>
            <w:tcBorders>
              <w:top w:val="single" w:color="D9C3A8" w:sz="4"/>
              <w:left w:val="single" w:color="D9C3A8" w:sz="4"/>
              <w:bottom w:val="single" w:color="D9C3A8" w:sz="4"/>
              <w:right w:val="single" w:color="D9C3A8" w:sz="4"/>
            </w:tcBorders>
            <w:shd w:fill="F7ECD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Little Bites (Bimbo)</w:t>
            </w:r>
          </w:p>
        </w:tc>
        <w:tc>
          <w:tcPr>
            <w:tcW w:type="dxa" w:w="2838"/>
            <w:tcBorders>
              <w:top w:val="single" w:color="D9C3A8" w:sz="4"/>
              <w:left w:val="single" w:color="D9C3A8" w:sz="4"/>
              <w:bottom w:val="single" w:color="D9C3A8" w:sz="4"/>
              <w:right w:val="single" w:color="D9C3A8" w:sz="4"/>
            </w:tcBorders>
            <w:shd w:fill="F7ECD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19"/>
                <w:szCs w:val="19"/>
              </w:rPr>
              <w:t xml:space="preserve">"Caja 130 g (4 bolsitas x 32.5 g), S/10.50"; "S/2.62 por bolsita"; "S/80.77/kg"; "sin fortificación real"; "&lt; 0.3 mg"; "2 octógonos"</w:t>
            </w:r>
          </w:p>
        </w:tc>
        <w:tc>
          <w:tcPr>
            <w:tcW w:type="dxa" w:w="2838"/>
            <w:tcBorders>
              <w:top w:val="single" w:color="D9C3A8" w:sz="4"/>
              <w:left w:val="single" w:color="D9C3A8" w:sz="4"/>
              <w:bottom w:val="single" w:color="D9C3A8" w:sz="4"/>
              <w:right w:val="single" w:color="D9C3A8" w:sz="4"/>
            </w:tcBorders>
            <w:shd w:fill="F7ECD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19"/>
                <w:szCs w:val="19"/>
              </w:rPr>
              <w:t xml:space="preserve">Plaza Vea: Little Bites caja de 130 g a S/10.90. El empaque dice "Fudge Brownies Muffins, 10 muffins" (unos 13 g cada uno): S/1.09 por muffin, S/1.68 por 20 g y S/83.85 por kg. Los 2 octógonos son correctos: "Alto en grasas saturadas" y "Alto en azúcar" (foto del empaque en Plaza Vea). El hierro no se publica; en el Perú la harina de trigo se fortifica por ley (Ley 28314), así que "sin fortificación real" y "&lt; 0.3 mg" no se pueden afirmar [POR CONFIRMAR en el empaque]</w:t>
            </w:r>
          </w:p>
        </w:tc>
        <w:tc>
          <w:tcPr>
            <w:tcW w:type="dxa" w:w="2600"/>
            <w:tcBorders>
              <w:top w:val="single" w:color="D9C3A8" w:sz="4"/>
              <w:left w:val="single" w:color="D9C3A8" w:sz="4"/>
              <w:bottom w:val="single" w:color="D9C3A8" w:sz="4"/>
              <w:right w:val="single" w:color="D9C3A8" w:sz="4"/>
            </w:tcBorders>
            <w:shd w:fill="F7ECD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19"/>
                <w:szCs w:val="19"/>
              </w:rPr>
              <w:t xml:space="preserve">Sí existe; precio y número de unidades de Diana no</w:t>
            </w:r>
          </w:p>
        </w:tc>
      </w:tr>
    </w:tbl>
    <w:p>
      <w:pPr>
        <w:spacing w:after="80"/>
      </w:pPr>
    </w:p>
    <w:p>
      <w:pPr>
        <w:spacing w:after="120"/>
      </w:pPr>
      <w:r>
        <w:rPr>
          <w:b/>
          <w:bCs/>
        </w:rPr>
        <w:t xml:space="preserve">Sobre la biodisponibilidad.</w:t>
      </w:r>
      <w:r>
        <w:t xml:space="preserve"> La cifra "hemo 15 a 35 % frente a no hemo 2 a 20 %" aparece en páginas de divulgación, pero no la encontramos en un documento oficial del MINSA, del INS, de la FAO o de la OMS [POR CONFIRMAR]. Lo que sí dice la FAO/OMS (2004, capítulo 13) es: hierro hemo, en promedio 25 % en comidas con carne (de 10 % a 40 % según las reservas de la persona); hierro no hemo, de 5 % a 40 % en estudios de una sola comida y menos en la dieta completa, porque depende de lo que se come con él. Recomendamos usar esa frase.</w:t>
      </w:r>
    </w:p>
    <w:p>
      <w:pPr>
        <w:pStyle w:val="Heading2"/>
      </w:pPr>
      <w:r>
        <w:t xml:space="preserve">6.4 FODA: línea por línea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9"/>
        <w:gridCol w:w="2784"/>
        <w:gridCol w:w="2784"/>
        <w:gridCol w:w="2783"/>
      </w:tblGrid>
      <w:tr>
        <w:trPr>
          <w:tblHeader/>
        </w:trPr>
        <w:tc>
          <w:tcPr>
            <w:tcW w:type="dxa" w:w="1009"/>
            <w:tcBorders>
              <w:top w:val="single" w:color="D9C3A8" w:sz="4"/>
              <w:left w:val="single" w:color="D9C3A8" w:sz="4"/>
              <w:bottom w:val="single" w:color="D9C3A8" w:sz="4"/>
              <w:right w:val="single" w:color="D9C3A8" w:sz="4"/>
            </w:tcBorders>
            <w:shd w:fill="4A2018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Línea</w:t>
            </w:r>
          </w:p>
        </w:tc>
        <w:tc>
          <w:tcPr>
            <w:tcW w:type="dxa" w:w="2784"/>
            <w:tcBorders>
              <w:top w:val="single" w:color="D9C3A8" w:sz="4"/>
              <w:left w:val="single" w:color="D9C3A8" w:sz="4"/>
              <w:bottom w:val="single" w:color="D9C3A8" w:sz="4"/>
              <w:right w:val="single" w:color="D9C3A8" w:sz="4"/>
            </w:tcBorders>
            <w:shd w:fill="4A2018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Dice</w:t>
            </w:r>
          </w:p>
        </w:tc>
        <w:tc>
          <w:tcPr>
            <w:tcW w:type="dxa" w:w="2784"/>
            <w:tcBorders>
              <w:top w:val="single" w:color="D9C3A8" w:sz="4"/>
              <w:left w:val="single" w:color="D9C3A8" w:sz="4"/>
              <w:bottom w:val="single" w:color="D9C3A8" w:sz="4"/>
              <w:right w:val="single" w:color="D9C3A8" w:sz="4"/>
            </w:tcBorders>
            <w:shd w:fill="4A2018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Debe decir</w:t>
            </w:r>
          </w:p>
        </w:tc>
        <w:tc>
          <w:tcPr>
            <w:tcW w:type="dxa" w:w="2783"/>
            <w:tcBorders>
              <w:top w:val="single" w:color="D9C3A8" w:sz="4"/>
              <w:left w:val="single" w:color="D9C3A8" w:sz="4"/>
              <w:bottom w:val="single" w:color="D9C3A8" w:sz="4"/>
              <w:right w:val="single" w:color="D9C3A8" w:sz="4"/>
            </w:tcBorders>
            <w:shd w:fill="4A2018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Fuente</w:t>
            </w:r>
          </w:p>
        </w:tc>
      </w:tr>
      <w:tr>
        <w:trPr>
          <w:tblHeader w:val="false"/>
        </w:trPr>
        <w:tc>
          <w:tcPr>
            <w:tcW w:type="dxa" w:w="1009"/>
            <w:tcBorders>
              <w:top w:val="single" w:color="D9C3A8" w:sz="4"/>
              <w:left w:val="single" w:color="D9C3A8" w:sz="4"/>
              <w:bottom w:val="single" w:color="D9C3A8" w:sz="4"/>
              <w:right w:val="single" w:color="D9C3A8" w:sz="4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19"/>
                <w:szCs w:val="19"/>
              </w:rPr>
              <w:t xml:space="preserve">F1</w:t>
            </w:r>
          </w:p>
        </w:tc>
        <w:tc>
          <w:tcPr>
            <w:tcW w:type="dxa" w:w="2784"/>
            <w:tcBorders>
              <w:top w:val="single" w:color="D9C3A8" w:sz="4"/>
              <w:left w:val="single" w:color="D9C3A8" w:sz="4"/>
              <w:bottom w:val="single" w:color="D9C3A8" w:sz="4"/>
              <w:right w:val="single" w:color="D9C3A8" w:sz="4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19"/>
                <w:szCs w:val="19"/>
              </w:rPr>
              <w:t xml:space="preserve">"Fórmula que esconde 100 % la sangrecita: cacao fino y canela que neutraliza el sabor ferroso"</w:t>
            </w:r>
          </w:p>
        </w:tc>
        <w:tc>
          <w:tcPr>
            <w:tcW w:type="dxa" w:w="2784"/>
            <w:tcBorders>
              <w:top w:val="single" w:color="D9C3A8" w:sz="4"/>
              <w:left w:val="single" w:color="D9C3A8" w:sz="4"/>
              <w:bottom w:val="single" w:color="D9C3A8" w:sz="4"/>
              <w:right w:val="single" w:color="D9C3A8" w:sz="4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19"/>
                <w:szCs w:val="19"/>
              </w:rPr>
              <w:t xml:space="preserve">"Receta que esconde la sangrecita en un brownie de cacao: las entrevistas y el focus 1 mostraron que se acepta escondida en algo dulce. Textura húmeda (fudgy). Los resultados del focus 2 lo confirmarán [POR CONFIRMAR]." La canela va solo en el sabor Andi</w:t>
            </w:r>
          </w:p>
        </w:tc>
        <w:tc>
          <w:tcPr>
            <w:tcW w:type="dxa" w:w="2783"/>
            <w:tcBorders>
              <w:top w:val="single" w:color="D9C3A8" w:sz="4"/>
              <w:left w:val="single" w:color="D9C3A8" w:sz="4"/>
              <w:bottom w:val="single" w:color="D9C3A8" w:sz="4"/>
              <w:right w:val="single" w:color="D9C3A8" w:sz="4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19"/>
                <w:szCs w:val="19"/>
              </w:rPr>
              <w:t xml:space="preserve">HECHOS_v7; documento 01</w:t>
            </w:r>
          </w:p>
        </w:tc>
      </w:tr>
      <w:tr>
        <w:trPr>
          <w:tblHeader w:val="false"/>
        </w:trPr>
        <w:tc>
          <w:tcPr>
            <w:tcW w:type="dxa" w:w="1009"/>
            <w:tcBorders>
              <w:top w:val="single" w:color="D9C3A8" w:sz="4"/>
              <w:left w:val="single" w:color="D9C3A8" w:sz="4"/>
              <w:bottom w:val="single" w:color="D9C3A8" w:sz="4"/>
              <w:right w:val="single" w:color="D9C3A8" w:sz="4"/>
            </w:tcBorders>
            <w:shd w:fill="F7ECD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19"/>
                <w:szCs w:val="19"/>
              </w:rPr>
              <w:t xml:space="preserve">F2</w:t>
            </w:r>
          </w:p>
        </w:tc>
        <w:tc>
          <w:tcPr>
            <w:tcW w:type="dxa" w:w="2784"/>
            <w:tcBorders>
              <w:top w:val="single" w:color="D9C3A8" w:sz="4"/>
              <w:left w:val="single" w:color="D9C3A8" w:sz="4"/>
              <w:bottom w:val="single" w:color="D9C3A8" w:sz="4"/>
              <w:right w:val="single" w:color="D9C3A8" w:sz="4"/>
            </w:tcBorders>
            <w:shd w:fill="F7ECD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19"/>
                <w:szCs w:val="19"/>
              </w:rPr>
              <w:t xml:space="preserve">"Aporte real certificado de 1.9 mg... (laboratorios SAT Perú / La Molina Calidad Total: S/0.12 por unidad)"</w:t>
            </w:r>
          </w:p>
        </w:tc>
        <w:tc>
          <w:tcPr>
            <w:tcW w:type="dxa" w:w="2784"/>
            <w:tcBorders>
              <w:top w:val="single" w:color="D9C3A8" w:sz="4"/>
              <w:left w:val="single" w:color="D9C3A8" w:sz="4"/>
              <w:bottom w:val="single" w:color="D9C3A8" w:sz="4"/>
              <w:right w:val="single" w:color="D9C3A8" w:sz="4"/>
            </w:tcBorders>
            <w:shd w:fill="F7ECD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19"/>
                <w:szCs w:val="19"/>
              </w:rPr>
              <w:t xml:space="preserve">"Hierro hemo medido en laboratorio: cada lote de enero a junio y cada 2 meses desde julio de 2027; el resultado se publica en la app. El cálculo da unos 1.9 mg por brownie de 20 g, hecho con sangrecita cocida [POR CONFIRMAR en laboratorio]. Laboratorios candidatos acreditados por INACAL: SAT Perú y La Molina Calidad Total (UNALM), con precio por cotización [POR CONFIRMAR]. El plan reserva S/0.12 por brownie para el control de calidad (análisis microbiológico de S/250 por lote y de hierro de S/375)."</w:t>
            </w:r>
          </w:p>
        </w:tc>
        <w:tc>
          <w:tcPr>
            <w:tcW w:type="dxa" w:w="2783"/>
            <w:tcBorders>
              <w:top w:val="single" w:color="D9C3A8" w:sz="4"/>
              <w:left w:val="single" w:color="D9C3A8" w:sz="4"/>
              <w:bottom w:val="single" w:color="D9C3A8" w:sz="4"/>
              <w:right w:val="single" w:color="D9C3A8" w:sz="4"/>
            </w:tcBorders>
            <w:shd w:fill="F7ECD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19"/>
                <w:szCs w:val="19"/>
              </w:rPr>
              <w:t xml:space="preserve">HECHOS_v7; documento 03, sección 2.4; Excel v7, hoja Supuestos</w:t>
            </w:r>
          </w:p>
        </w:tc>
      </w:tr>
      <w:tr>
        <w:trPr>
          <w:tblHeader w:val="false"/>
        </w:trPr>
        <w:tc>
          <w:tcPr>
            <w:tcW w:type="dxa" w:w="1009"/>
            <w:tcBorders>
              <w:top w:val="single" w:color="D9C3A8" w:sz="4"/>
              <w:left w:val="single" w:color="D9C3A8" w:sz="4"/>
              <w:bottom w:val="single" w:color="D9C3A8" w:sz="4"/>
              <w:right w:val="single" w:color="D9C3A8" w:sz="4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19"/>
                <w:szCs w:val="19"/>
              </w:rPr>
              <w:t xml:space="preserve">F3</w:t>
            </w:r>
          </w:p>
        </w:tc>
        <w:tc>
          <w:tcPr>
            <w:tcW w:type="dxa" w:w="2784"/>
            <w:tcBorders>
              <w:top w:val="single" w:color="D9C3A8" w:sz="4"/>
              <w:left w:val="single" w:color="D9C3A8" w:sz="4"/>
              <w:bottom w:val="single" w:color="D9C3A8" w:sz="4"/>
              <w:right w:val="single" w:color="D9C3A8" w:sz="4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19"/>
                <w:szCs w:val="19"/>
              </w:rPr>
              <w:t xml:space="preserve">"App Andi 'Misión Hierro': web app con QR (sin descarga)... planificador con IA (Gemini), aviso de recompra y juego educativo sin publicidad (Ley 30021)"</w:t>
            </w:r>
          </w:p>
        </w:tc>
        <w:tc>
          <w:tcPr>
            <w:tcW w:type="dxa" w:w="2784"/>
            <w:tcBorders>
              <w:top w:val="single" w:color="D9C3A8" w:sz="4"/>
              <w:left w:val="single" w:color="D9C3A8" w:sz="4"/>
              <w:bottom w:val="single" w:color="D9C3A8" w:sz="4"/>
              <w:right w:val="single" w:color="D9C3A8" w:sz="4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19"/>
                <w:szCs w:val="19"/>
              </w:rPr>
              <w:t xml:space="preserve">Casi todo correcto. Nombre: "Andi, Misión Hierro". Es una app web instalable que se abre con el QR del envase. Agregar: semáforo de hierro semanal, recordatorio del control de hemoglobina, recompra en 1 clic por WhatsApp y "dónde estamos este fin de semana". Modo niños con 4 juegos y candado del padre, sin compras ni premios (Ley 30021, art. 8)</w:t>
            </w:r>
          </w:p>
        </w:tc>
        <w:tc>
          <w:tcPr>
            <w:tcW w:type="dxa" w:w="2783"/>
            <w:tcBorders>
              <w:top w:val="single" w:color="D9C3A8" w:sz="4"/>
              <w:left w:val="single" w:color="D9C3A8" w:sz="4"/>
              <w:bottom w:val="single" w:color="D9C3A8" w:sz="4"/>
              <w:right w:val="single" w:color="D9C3A8" w:sz="4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19"/>
                <w:szCs w:val="19"/>
              </w:rPr>
              <w:t xml:space="preserve">HECHOS_v7, App</w:t>
            </w:r>
          </w:p>
        </w:tc>
      </w:tr>
      <w:tr>
        <w:trPr>
          <w:tblHeader w:val="false"/>
        </w:trPr>
        <w:tc>
          <w:tcPr>
            <w:tcW w:type="dxa" w:w="1009"/>
            <w:tcBorders>
              <w:top w:val="single" w:color="D9C3A8" w:sz="4"/>
              <w:left w:val="single" w:color="D9C3A8" w:sz="4"/>
              <w:bottom w:val="single" w:color="D9C3A8" w:sz="4"/>
              <w:right w:val="single" w:color="D9C3A8" w:sz="4"/>
            </w:tcBorders>
            <w:shd w:fill="F7ECD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19"/>
                <w:szCs w:val="19"/>
              </w:rPr>
              <w:t xml:space="preserve">F4</w:t>
            </w:r>
          </w:p>
        </w:tc>
        <w:tc>
          <w:tcPr>
            <w:tcW w:type="dxa" w:w="2784"/>
            <w:tcBorders>
              <w:top w:val="single" w:color="D9C3A8" w:sz="4"/>
              <w:left w:val="single" w:color="D9C3A8" w:sz="4"/>
              <w:bottom w:val="single" w:color="D9C3A8" w:sz="4"/>
              <w:right w:val="single" w:color="D9C3A8" w:sz="4"/>
            </w:tcBorders>
            <w:shd w:fill="F7ECD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19"/>
                <w:szCs w:val="19"/>
              </w:rPr>
              <w:t xml:space="preserve">"Etiqueta limpia: 0 octógonos (&lt; 10 g de azúcar): cumple estrictamente la Ley 30021 para ingreso irrestricto a quioscos"</w:t>
            </w:r>
          </w:p>
        </w:tc>
        <w:tc>
          <w:tcPr>
            <w:tcW w:type="dxa" w:w="2784"/>
            <w:tcBorders>
              <w:top w:val="single" w:color="D9C3A8" w:sz="4"/>
              <w:left w:val="single" w:color="D9C3A8" w:sz="4"/>
              <w:bottom w:val="single" w:color="D9C3A8" w:sz="4"/>
              <w:right w:val="single" w:color="D9C3A8" w:sz="4"/>
            </w:tcBorders>
            <w:shd w:fill="F7ECD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19"/>
                <w:szCs w:val="19"/>
              </w:rPr>
              <w:t xml:space="preserve">"Meta sin octógono: la receta reformulada da de 4.6 a 7.1 g de azúcar por 100 g según la T1, bajo el límite de 10 g [POR CONFIRMAR en laboratorio]. Si se confirma, permite vender en quioscos escolares, que solo aceptan productos sin octógonos (lineamientos del MINSA, RM 195-2019/MINSA)." No decir "irrestricto": cada colegio decide</w:t>
            </w:r>
          </w:p>
        </w:tc>
        <w:tc>
          <w:tcPr>
            <w:tcW w:type="dxa" w:w="2783"/>
            <w:tcBorders>
              <w:top w:val="single" w:color="D9C3A8" w:sz="4"/>
              <w:left w:val="single" w:color="D9C3A8" w:sz="4"/>
              <w:bottom w:val="single" w:color="D9C3A8" w:sz="4"/>
              <w:right w:val="single" w:color="D9C3A8" w:sz="4"/>
            </w:tcBorders>
            <w:shd w:fill="F7ECD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19"/>
                <w:szCs w:val="19"/>
              </w:rPr>
              <w:t xml:space="preserve">HECHOS_v7; sección 3.4 de este informe</w:t>
            </w:r>
          </w:p>
        </w:tc>
      </w:tr>
      <w:tr>
        <w:trPr>
          <w:tblHeader w:val="false"/>
        </w:trPr>
        <w:tc>
          <w:tcPr>
            <w:tcW w:type="dxa" w:w="1009"/>
            <w:tcBorders>
              <w:top w:val="single" w:color="D9C3A8" w:sz="4"/>
              <w:left w:val="single" w:color="D9C3A8" w:sz="4"/>
              <w:bottom w:val="single" w:color="D9C3A8" w:sz="4"/>
              <w:right w:val="single" w:color="D9C3A8" w:sz="4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19"/>
                <w:szCs w:val="19"/>
              </w:rPr>
              <w:t xml:space="preserve">F5</w:t>
            </w:r>
          </w:p>
        </w:tc>
        <w:tc>
          <w:tcPr>
            <w:tcW w:type="dxa" w:w="2784"/>
            <w:tcBorders>
              <w:top w:val="single" w:color="D9C3A8" w:sz="4"/>
              <w:left w:val="single" w:color="D9C3A8" w:sz="4"/>
              <w:bottom w:val="single" w:color="D9C3A8" w:sz="4"/>
              <w:right w:val="single" w:color="D9C3A8" w:sz="4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19"/>
                <w:szCs w:val="19"/>
              </w:rPr>
              <w:t xml:space="preserve">"Maquila flexible con plantas certificadas (Panificadora Unión, INDDA, MAKING) con costo de solo S/1.64 por brownie"</w:t>
            </w:r>
          </w:p>
        </w:tc>
        <w:tc>
          <w:tcPr>
            <w:tcW w:type="dxa" w:w="2784"/>
            <w:tcBorders>
              <w:top w:val="single" w:color="D9C3A8" w:sz="4"/>
              <w:left w:val="single" w:color="D9C3A8" w:sz="4"/>
              <w:bottom w:val="single" w:color="D9C3A8" w:sz="4"/>
              <w:right w:val="single" w:color="D9C3A8" w:sz="4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19"/>
                <w:szCs w:val="19"/>
              </w:rPr>
              <w:t xml:space="preserve">"Maquila sin planta propia: la planta hidrata la sangrecita, hornea y empaca a S/0.45 por brownie. Candidatas: MAKING, Panificadora Unión e INDDA-UNALM [POR CONFIRMAR]. Costo total de producción: S/1.64 por brownie en el pack de 6 (S/1.54 a S/1.72 según la presentación). Margen bruto en el stand: 58 a 66 %." S/1.64 no es solo la maquila</w:t>
            </w:r>
          </w:p>
        </w:tc>
        <w:tc>
          <w:tcPr>
            <w:tcW w:type="dxa" w:w="2783"/>
            <w:tcBorders>
              <w:top w:val="single" w:color="D9C3A8" w:sz="4"/>
              <w:left w:val="single" w:color="D9C3A8" w:sz="4"/>
              <w:bottom w:val="single" w:color="D9C3A8" w:sz="4"/>
              <w:right w:val="single" w:color="D9C3A8" w:sz="4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19"/>
                <w:szCs w:val="19"/>
              </w:rPr>
              <w:t xml:space="preserve">HECHOS_v7; 00-RESUMEN; Excel v7, hoja Resumen</w:t>
            </w:r>
          </w:p>
        </w:tc>
      </w:tr>
      <w:tr>
        <w:trPr>
          <w:tblHeader w:val="false"/>
        </w:trPr>
        <w:tc>
          <w:tcPr>
            <w:tcW w:type="dxa" w:w="1009"/>
            <w:tcBorders>
              <w:top w:val="single" w:color="D9C3A8" w:sz="4"/>
              <w:left w:val="single" w:color="D9C3A8" w:sz="4"/>
              <w:bottom w:val="single" w:color="D9C3A8" w:sz="4"/>
              <w:right w:val="single" w:color="D9C3A8" w:sz="4"/>
            </w:tcBorders>
            <w:shd w:fill="F7ECD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19"/>
                <w:szCs w:val="19"/>
              </w:rPr>
              <w:t xml:space="preserve">F6</w:t>
            </w:r>
          </w:p>
        </w:tc>
        <w:tc>
          <w:tcPr>
            <w:tcW w:type="dxa" w:w="2784"/>
            <w:tcBorders>
              <w:top w:val="single" w:color="D9C3A8" w:sz="4"/>
              <w:left w:val="single" w:color="D9C3A8" w:sz="4"/>
              <w:bottom w:val="single" w:color="D9C3A8" w:sz="4"/>
              <w:right w:val="single" w:color="D9C3A8" w:sz="4"/>
            </w:tcBorders>
            <w:shd w:fill="F7ECD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19"/>
                <w:szCs w:val="19"/>
              </w:rPr>
              <w:t xml:space="preserve">"Unidad (S/6.00 stand / S/4.00 quiosco), caja de 3 (S/16.50), pack de 6 (S/27.90) y pack de 12"</w:t>
            </w:r>
          </w:p>
        </w:tc>
        <w:tc>
          <w:tcPr>
            <w:tcW w:type="dxa" w:w="2784"/>
            <w:tcBorders>
              <w:top w:val="single" w:color="D9C3A8" w:sz="4"/>
              <w:left w:val="single" w:color="D9C3A8" w:sz="4"/>
              <w:bottom w:val="single" w:color="D9C3A8" w:sz="4"/>
              <w:right w:val="single" w:color="D9C3A8" w:sz="4"/>
            </w:tcBorders>
            <w:shd w:fill="F7ECD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19"/>
                <w:szCs w:val="19"/>
              </w:rPr>
              <w:t xml:space="preserve">"Unidad S/6.00 en stand; en el quiosco el alumno paga S/4.00 y AndiBite recibe S/3.20. Caja de 3 sabores S/16.50 (S/12.00 por WhatsApp). Pack de 6 S/27.90 (S/26.90 por WhatsApp). Pack de 12 'Semana completa' S/51.90 (S/49.90 por WhatsApp)."</w:t>
            </w:r>
          </w:p>
        </w:tc>
        <w:tc>
          <w:tcPr>
            <w:tcW w:type="dxa" w:w="2783"/>
            <w:tcBorders>
              <w:top w:val="single" w:color="D9C3A8" w:sz="4"/>
              <w:left w:val="single" w:color="D9C3A8" w:sz="4"/>
              <w:bottom w:val="single" w:color="D9C3A8" w:sz="4"/>
              <w:right w:val="single" w:color="D9C3A8" w:sz="4"/>
            </w:tcBorders>
            <w:shd w:fill="F7ECD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19"/>
                <w:szCs w:val="19"/>
              </w:rPr>
              <w:t xml:space="preserve">HECHOS_v7, Precios</w:t>
            </w:r>
          </w:p>
        </w:tc>
      </w:tr>
      <w:tr>
        <w:trPr>
          <w:tblHeader w:val="false"/>
        </w:trPr>
        <w:tc>
          <w:tcPr>
            <w:tcW w:type="dxa" w:w="1009"/>
            <w:tcBorders>
              <w:top w:val="single" w:color="D9C3A8" w:sz="4"/>
              <w:left w:val="single" w:color="D9C3A8" w:sz="4"/>
              <w:bottom w:val="single" w:color="D9C3A8" w:sz="4"/>
              <w:right w:val="single" w:color="D9C3A8" w:sz="4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19"/>
                <w:szCs w:val="19"/>
              </w:rPr>
              <w:t xml:space="preserve">D1</w:t>
            </w:r>
          </w:p>
        </w:tc>
        <w:tc>
          <w:tcPr>
            <w:tcW w:type="dxa" w:w="2784"/>
            <w:tcBorders>
              <w:top w:val="single" w:color="D9C3A8" w:sz="4"/>
              <w:left w:val="single" w:color="D9C3A8" w:sz="4"/>
              <w:bottom w:val="single" w:color="D9C3A8" w:sz="4"/>
              <w:right w:val="single" w:color="D9C3A8" w:sz="4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19"/>
                <w:szCs w:val="19"/>
              </w:rPr>
              <w:t xml:space="preserve">"Presupuesto de S/24,544 para el año 1 (fijo mensual de S/900: pauta en redes S/700 + mamás embajadoras S/200)"</w:t>
            </w:r>
          </w:p>
        </w:tc>
        <w:tc>
          <w:tcPr>
            <w:tcW w:type="dxa" w:w="2784"/>
            <w:tcBorders>
              <w:top w:val="single" w:color="D9C3A8" w:sz="4"/>
              <w:left w:val="single" w:color="D9C3A8" w:sz="4"/>
              <w:bottom w:val="single" w:color="D9C3A8" w:sz="4"/>
              <w:right w:val="single" w:color="D9C3A8" w:sz="4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19"/>
                <w:szCs w:val="19"/>
              </w:rPr>
              <w:t xml:space="preserve">"S/24,544 para 15 meses (octubre de 2026 a diciembre de 2027), unos S/0.44 por brownie. Cada mes hay S/900: S/700 de pauta, degustación y material, y S/200 de embajadoras. De los S/700, la pauta en Meta suma S/5,050 en el año (unos S/421 al mes); el resto va a degustaciones (S/1,750) y material (S/1,600)."</w:t>
            </w:r>
          </w:p>
        </w:tc>
        <w:tc>
          <w:tcPr>
            <w:tcW w:type="dxa" w:w="2783"/>
            <w:tcBorders>
              <w:top w:val="single" w:color="D9C3A8" w:sz="4"/>
              <w:left w:val="single" w:color="D9C3A8" w:sz="4"/>
              <w:bottom w:val="single" w:color="D9C3A8" w:sz="4"/>
              <w:right w:val="single" w:color="D9C3A8" w:sz="4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19"/>
                <w:szCs w:val="19"/>
              </w:rPr>
              <w:t xml:space="preserve">HECHOS_v7, Plan de marketing; T2_17</w:t>
            </w:r>
          </w:p>
        </w:tc>
      </w:tr>
      <w:tr>
        <w:trPr>
          <w:tblHeader w:val="false"/>
        </w:trPr>
        <w:tc>
          <w:tcPr>
            <w:tcW w:type="dxa" w:w="1009"/>
            <w:tcBorders>
              <w:top w:val="single" w:color="D9C3A8" w:sz="4"/>
              <w:left w:val="single" w:color="D9C3A8" w:sz="4"/>
              <w:bottom w:val="single" w:color="D9C3A8" w:sz="4"/>
              <w:right w:val="single" w:color="D9C3A8" w:sz="4"/>
            </w:tcBorders>
            <w:shd w:fill="F7ECD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19"/>
                <w:szCs w:val="19"/>
              </w:rPr>
              <w:t xml:space="preserve">D2</w:t>
            </w:r>
          </w:p>
        </w:tc>
        <w:tc>
          <w:tcPr>
            <w:tcW w:type="dxa" w:w="2784"/>
            <w:tcBorders>
              <w:top w:val="single" w:color="D9C3A8" w:sz="4"/>
              <w:left w:val="single" w:color="D9C3A8" w:sz="4"/>
              <w:bottom w:val="single" w:color="D9C3A8" w:sz="4"/>
              <w:right w:val="single" w:color="D9C3A8" w:sz="4"/>
            </w:tcBorders>
            <w:shd w:fill="F7ECD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19"/>
                <w:szCs w:val="19"/>
              </w:rPr>
              <w:t xml:space="preserve">"Prejuicio y barrera mental hacia la sangrecita... antes de degustar"</w:t>
            </w:r>
          </w:p>
        </w:tc>
        <w:tc>
          <w:tcPr>
            <w:tcW w:type="dxa" w:w="2784"/>
            <w:tcBorders>
              <w:top w:val="single" w:color="D9C3A8" w:sz="4"/>
              <w:left w:val="single" w:color="D9C3A8" w:sz="4"/>
              <w:bottom w:val="single" w:color="D9C3A8" w:sz="4"/>
              <w:right w:val="single" w:color="D9C3A8" w:sz="4"/>
            </w:tcBorders>
            <w:shd w:fill="F7ECD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19"/>
                <w:szCs w:val="19"/>
              </w:rPr>
              <w:t xml:space="preserve">Correcto como hipótesis, con respaldo de las entrevistas: "sin la prueba del niño no hay compra" y "la sangrecita se acepta escondida". El focus 2 dirá cuánto pesa en A y B [POR CONFIRMAR]</w:t>
            </w:r>
          </w:p>
        </w:tc>
        <w:tc>
          <w:tcPr>
            <w:tcW w:type="dxa" w:w="2783"/>
            <w:tcBorders>
              <w:top w:val="single" w:color="D9C3A8" w:sz="4"/>
              <w:left w:val="single" w:color="D9C3A8" w:sz="4"/>
              <w:bottom w:val="single" w:color="D9C3A8" w:sz="4"/>
              <w:right w:val="single" w:color="D9C3A8" w:sz="4"/>
            </w:tcBorders>
            <w:shd w:fill="F7ECD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19"/>
                <w:szCs w:val="19"/>
              </w:rPr>
              <w:t xml:space="preserve">HECHOS_v7, Evidencia</w:t>
            </w:r>
          </w:p>
        </w:tc>
      </w:tr>
      <w:tr>
        <w:trPr>
          <w:tblHeader w:val="false"/>
        </w:trPr>
        <w:tc>
          <w:tcPr>
            <w:tcW w:type="dxa" w:w="1009"/>
            <w:tcBorders>
              <w:top w:val="single" w:color="D9C3A8" w:sz="4"/>
              <w:left w:val="single" w:color="D9C3A8" w:sz="4"/>
              <w:bottom w:val="single" w:color="D9C3A8" w:sz="4"/>
              <w:right w:val="single" w:color="D9C3A8" w:sz="4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19"/>
                <w:szCs w:val="19"/>
              </w:rPr>
              <w:t xml:space="preserve">D3</w:t>
            </w:r>
          </w:p>
        </w:tc>
        <w:tc>
          <w:tcPr>
            <w:tcW w:type="dxa" w:w="2784"/>
            <w:tcBorders>
              <w:top w:val="single" w:color="D9C3A8" w:sz="4"/>
              <w:left w:val="single" w:color="D9C3A8" w:sz="4"/>
              <w:bottom w:val="single" w:color="D9C3A8" w:sz="4"/>
              <w:right w:val="single" w:color="D9C3A8" w:sz="4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19"/>
                <w:szCs w:val="19"/>
              </w:rPr>
              <w:t xml:space="preserve">"49.8 % de los ingresos del año 1 provienen de stands... alquiler (S/600/mes) y vendedoras (S/90/día)"</w:t>
            </w:r>
          </w:p>
        </w:tc>
        <w:tc>
          <w:tcPr>
            <w:tcW w:type="dxa" w:w="2784"/>
            <w:tcBorders>
              <w:top w:val="single" w:color="D9C3A8" w:sz="4"/>
              <w:left w:val="single" w:color="D9C3A8" w:sz="4"/>
              <w:bottom w:val="single" w:color="D9C3A8" w:sz="4"/>
              <w:right w:val="single" w:color="D9C3A8" w:sz="4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19"/>
                <w:szCs w:val="19"/>
              </w:rPr>
              <w:t xml:space="preserve">Casi exacto: los stands y carritos son el 49.9 % de las ventas con IGV (S/122,034 de S/244,728) y el 43 % de los brownies. S/600 al mes por punto y S/90 por día de vendedor(a) son correctos. Agregar: cada punto necesita 65 brownies por día para no perder</w:t>
            </w:r>
          </w:p>
        </w:tc>
        <w:tc>
          <w:tcPr>
            <w:tcW w:type="dxa" w:w="2783"/>
            <w:tcBorders>
              <w:top w:val="single" w:color="D9C3A8" w:sz="4"/>
              <w:left w:val="single" w:color="D9C3A8" w:sz="4"/>
              <w:bottom w:val="single" w:color="D9C3A8" w:sz="4"/>
              <w:right w:val="single" w:color="D9C3A8" w:sz="4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19"/>
                <w:szCs w:val="19"/>
              </w:rPr>
              <w:t xml:space="preserve">Excel v7, hojas Proyeccion y Mensual; HECHOS_v7</w:t>
            </w:r>
          </w:p>
        </w:tc>
      </w:tr>
      <w:tr>
        <w:trPr>
          <w:tblHeader w:val="false"/>
        </w:trPr>
        <w:tc>
          <w:tcPr>
            <w:tcW w:type="dxa" w:w="1009"/>
            <w:tcBorders>
              <w:top w:val="single" w:color="D9C3A8" w:sz="4"/>
              <w:left w:val="single" w:color="D9C3A8" w:sz="4"/>
              <w:bottom w:val="single" w:color="D9C3A8" w:sz="4"/>
              <w:right w:val="single" w:color="D9C3A8" w:sz="4"/>
            </w:tcBorders>
            <w:shd w:fill="F7ECD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19"/>
                <w:szCs w:val="19"/>
              </w:rPr>
              <w:t xml:space="preserve">D4</w:t>
            </w:r>
          </w:p>
        </w:tc>
        <w:tc>
          <w:tcPr>
            <w:tcW w:type="dxa" w:w="2784"/>
            <w:tcBorders>
              <w:top w:val="single" w:color="D9C3A8" w:sz="4"/>
              <w:left w:val="single" w:color="D9C3A8" w:sz="4"/>
              <w:bottom w:val="single" w:color="D9C3A8" w:sz="4"/>
              <w:right w:val="single" w:color="D9C3A8" w:sz="4"/>
            </w:tcBorders>
            <w:shd w:fill="F7ECD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19"/>
                <w:szCs w:val="19"/>
              </w:rPr>
              <w:t xml:space="preserve">"Ingreso a Wong y Vivanda reservado para el año 2... comisiones del 20-36 %"</w:t>
            </w:r>
          </w:p>
        </w:tc>
        <w:tc>
          <w:tcPr>
            <w:tcW w:type="dxa" w:w="2784"/>
            <w:tcBorders>
              <w:top w:val="single" w:color="D9C3A8" w:sz="4"/>
              <w:left w:val="single" w:color="D9C3A8" w:sz="4"/>
              <w:bottom w:val="single" w:color="D9C3A8" w:sz="4"/>
              <w:right w:val="single" w:color="D9C3A8" w:sz="4"/>
            </w:tcBorders>
            <w:shd w:fill="F7ECD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19"/>
                <w:szCs w:val="19"/>
              </w:rPr>
              <w:t xml:space="preserve">"Sin góndola de supermercado en el año 1. La góndola en Wong o Vivanda solo se evalúa en el año 2 si cada punto ya gana por sí solo (regla para crecer 5). El documento 05 estima la comisión del supermercado en 35 % más 5 % de aportes y merma; el brief da 30 a 40 % [HIPÓTESIS]." El rango 20-36 % no tiene fuente</w:t>
            </w:r>
          </w:p>
        </w:tc>
        <w:tc>
          <w:tcPr>
            <w:tcW w:type="dxa" w:w="2783"/>
            <w:tcBorders>
              <w:top w:val="single" w:color="D9C3A8" w:sz="4"/>
              <w:left w:val="single" w:color="D9C3A8" w:sz="4"/>
              <w:bottom w:val="single" w:color="D9C3A8" w:sz="4"/>
              <w:right w:val="single" w:color="D9C3A8" w:sz="4"/>
            </w:tcBorders>
            <w:shd w:fill="F7ECD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19"/>
                <w:szCs w:val="19"/>
              </w:rPr>
              <w:t xml:space="preserve">HECHOS_v7, Reglas para crecer; documento 05, sección 4</w:t>
            </w:r>
          </w:p>
        </w:tc>
      </w:tr>
      <w:tr>
        <w:trPr>
          <w:tblHeader w:val="false"/>
        </w:trPr>
        <w:tc>
          <w:tcPr>
            <w:tcW w:type="dxa" w:w="1009"/>
            <w:tcBorders>
              <w:top w:val="single" w:color="D9C3A8" w:sz="4"/>
              <w:left w:val="single" w:color="D9C3A8" w:sz="4"/>
              <w:bottom w:val="single" w:color="D9C3A8" w:sz="4"/>
              <w:right w:val="single" w:color="D9C3A8" w:sz="4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19"/>
                <w:szCs w:val="19"/>
              </w:rPr>
              <w:t xml:space="preserve">D5</w:t>
            </w:r>
          </w:p>
        </w:tc>
        <w:tc>
          <w:tcPr>
            <w:tcW w:type="dxa" w:w="2784"/>
            <w:tcBorders>
              <w:top w:val="single" w:color="D9C3A8" w:sz="4"/>
              <w:left w:val="single" w:color="D9C3A8" w:sz="4"/>
              <w:bottom w:val="single" w:color="D9C3A8" w:sz="4"/>
              <w:right w:val="single" w:color="D9C3A8" w:sz="4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19"/>
                <w:szCs w:val="19"/>
              </w:rPr>
              <w:t xml:space="preserve">"Meta del 30 % de envases escaneados... recompra (meta 35 %)"</w:t>
            </w:r>
          </w:p>
        </w:tc>
        <w:tc>
          <w:tcPr>
            <w:tcW w:type="dxa" w:w="2784"/>
            <w:tcBorders>
              <w:top w:val="single" w:color="D9C3A8" w:sz="4"/>
              <w:left w:val="single" w:color="D9C3A8" w:sz="4"/>
              <w:bottom w:val="single" w:color="D9C3A8" w:sz="4"/>
              <w:right w:val="single" w:color="D9C3A8" w:sz="4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19"/>
                <w:szCs w:val="19"/>
              </w:rPr>
              <w:t xml:space="preserve">Correcto. Precisar: el 35 % es la parte de lo vendido en físico que vuelve por WhatsApp el mes siguiente [HIPÓTESIS del Excel], no el 35 % de los clientes</w:t>
            </w:r>
          </w:p>
        </w:tc>
        <w:tc>
          <w:tcPr>
            <w:tcW w:type="dxa" w:w="2783"/>
            <w:tcBorders>
              <w:top w:val="single" w:color="D9C3A8" w:sz="4"/>
              <w:left w:val="single" w:color="D9C3A8" w:sz="4"/>
              <w:bottom w:val="single" w:color="D9C3A8" w:sz="4"/>
              <w:right w:val="single" w:color="D9C3A8" w:sz="4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19"/>
                <w:szCs w:val="19"/>
              </w:rPr>
              <w:t xml:space="preserve">HECHOS_v7; Excel v7, hoja Supuestos</w:t>
            </w:r>
          </w:p>
        </w:tc>
      </w:tr>
      <w:tr>
        <w:trPr>
          <w:tblHeader w:val="false"/>
        </w:trPr>
        <w:tc>
          <w:tcPr>
            <w:tcW w:type="dxa" w:w="1009"/>
            <w:tcBorders>
              <w:top w:val="single" w:color="D9C3A8" w:sz="4"/>
              <w:left w:val="single" w:color="D9C3A8" w:sz="4"/>
              <w:bottom w:val="single" w:color="D9C3A8" w:sz="4"/>
              <w:right w:val="single" w:color="D9C3A8" w:sz="4"/>
            </w:tcBorders>
            <w:shd w:fill="F7ECD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19"/>
                <w:szCs w:val="19"/>
              </w:rPr>
              <w:t xml:space="preserve">O1</w:t>
            </w:r>
          </w:p>
        </w:tc>
        <w:tc>
          <w:tcPr>
            <w:tcW w:type="dxa" w:w="2784"/>
            <w:tcBorders>
              <w:top w:val="single" w:color="D9C3A8" w:sz="4"/>
              <w:left w:val="single" w:color="D9C3A8" w:sz="4"/>
              <w:bottom w:val="single" w:color="D9C3A8" w:sz="4"/>
              <w:right w:val="single" w:color="D9C3A8" w:sz="4"/>
            </w:tcBorders>
            <w:shd w:fill="F7ECD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19"/>
                <w:szCs w:val="19"/>
              </w:rPr>
              <w:t xml:space="preserve">"46,000 hogares A/B... (Claudia y Rodrigo) con presupuesto mensual de educación/salud de S/1,709. El 83 % cambia su compra por los octógonos"</w:t>
            </w:r>
          </w:p>
        </w:tc>
        <w:tc>
          <w:tcPr>
            <w:tcW w:type="dxa" w:w="2784"/>
            <w:tcBorders>
              <w:top w:val="single" w:color="D9C3A8" w:sz="4"/>
              <w:left w:val="single" w:color="D9C3A8" w:sz="4"/>
              <w:bottom w:val="single" w:color="D9C3A8" w:sz="4"/>
              <w:right w:val="single" w:color="D9C3A8" w:sz="4"/>
            </w:tcBorders>
            <w:shd w:fill="F7ECD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19"/>
                <w:szCs w:val="19"/>
              </w:rPr>
              <w:t xml:space="preserve">"Núcleo de 46,000 hogares A/B con niños de 4 a 11 en Lima Top y Lima Moderna (S/17.3 millones al año). El hogar A gasta S/1,709 al mes en educación y salud y el B, S/998 (APEIM 2025). El 83 % dice que los octógonos influyen en sus compras (Ipsos, 21-feb-2025)." S/1,709 es solo del hogar A (Claudia)</w:t>
            </w:r>
          </w:p>
        </w:tc>
        <w:tc>
          <w:tcPr>
            <w:tcW w:type="dxa" w:w="2783"/>
            <w:tcBorders>
              <w:top w:val="single" w:color="D9C3A8" w:sz="4"/>
              <w:left w:val="single" w:color="D9C3A8" w:sz="4"/>
              <w:bottom w:val="single" w:color="D9C3A8" w:sz="4"/>
              <w:right w:val="single" w:color="D9C3A8" w:sz="4"/>
            </w:tcBorders>
            <w:shd w:fill="F7ECD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19"/>
                <w:szCs w:val="19"/>
              </w:rPr>
              <w:t xml:space="preserve">HECHOS_v7; T2_05, sección 3; documento 04</w:t>
            </w:r>
          </w:p>
        </w:tc>
      </w:tr>
      <w:tr>
        <w:trPr>
          <w:tblHeader w:val="false"/>
        </w:trPr>
        <w:tc>
          <w:tcPr>
            <w:tcW w:type="dxa" w:w="1009"/>
            <w:tcBorders>
              <w:top w:val="single" w:color="D9C3A8" w:sz="4"/>
              <w:left w:val="single" w:color="D9C3A8" w:sz="4"/>
              <w:bottom w:val="single" w:color="D9C3A8" w:sz="4"/>
              <w:right w:val="single" w:color="D9C3A8" w:sz="4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19"/>
                <w:szCs w:val="19"/>
              </w:rPr>
              <w:t xml:space="preserve">O2</w:t>
            </w:r>
          </w:p>
        </w:tc>
        <w:tc>
          <w:tcPr>
            <w:tcW w:type="dxa" w:w="2784"/>
            <w:tcBorders>
              <w:top w:val="single" w:color="D9C3A8" w:sz="4"/>
              <w:left w:val="single" w:color="D9C3A8" w:sz="4"/>
              <w:bottom w:val="single" w:color="D9C3A8" w:sz="4"/>
              <w:right w:val="single" w:color="D9C3A8" w:sz="4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19"/>
                <w:szCs w:val="19"/>
              </w:rPr>
              <w:t xml:space="preserve">"Ley 30021 en quioscos de colegios privados: demanda insatisfecha de snacks saludables"</w:t>
            </w:r>
          </w:p>
        </w:tc>
        <w:tc>
          <w:tcPr>
            <w:tcW w:type="dxa" w:w="2784"/>
            <w:tcBorders>
              <w:top w:val="single" w:color="D9C3A8" w:sz="4"/>
              <w:left w:val="single" w:color="D9C3A8" w:sz="4"/>
              <w:bottom w:val="single" w:color="D9C3A8" w:sz="4"/>
              <w:right w:val="single" w:color="D9C3A8" w:sz="4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19"/>
                <w:szCs w:val="19"/>
              </w:rPr>
              <w:t xml:space="preserve">"Lineamientos del MINSA (RM 195-2019/MINSA) que solo permiten productos sin octógonos en quioscos escolares. Meta: 5 colegios (2 de pensión alta en Lima Top y 3 de cadenas de pensión media como Innova Schools) desde marzo. Es oportunidad solo si el lote sale sin octógono." "Demanda insatisfecha" no tiene dato [POR CONFIRMAR]</w:t>
            </w:r>
          </w:p>
        </w:tc>
        <w:tc>
          <w:tcPr>
            <w:tcW w:type="dxa" w:w="2783"/>
            <w:tcBorders>
              <w:top w:val="single" w:color="D9C3A8" w:sz="4"/>
              <w:left w:val="single" w:color="D9C3A8" w:sz="4"/>
              <w:bottom w:val="single" w:color="D9C3A8" w:sz="4"/>
              <w:right w:val="single" w:color="D9C3A8" w:sz="4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19"/>
                <w:szCs w:val="19"/>
              </w:rPr>
              <w:t xml:space="preserve">HECHOS_v7; sección 3.4 de este informe</w:t>
            </w:r>
          </w:p>
        </w:tc>
      </w:tr>
      <w:tr>
        <w:trPr>
          <w:tblHeader w:val="false"/>
        </w:trPr>
        <w:tc>
          <w:tcPr>
            <w:tcW w:type="dxa" w:w="1009"/>
            <w:tcBorders>
              <w:top w:val="single" w:color="D9C3A8" w:sz="4"/>
              <w:left w:val="single" w:color="D9C3A8" w:sz="4"/>
              <w:bottom w:val="single" w:color="D9C3A8" w:sz="4"/>
              <w:right w:val="single" w:color="D9C3A8" w:sz="4"/>
            </w:tcBorders>
            <w:shd w:fill="F7ECD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19"/>
                <w:szCs w:val="19"/>
              </w:rPr>
              <w:t xml:space="preserve">O3</w:t>
            </w:r>
          </w:p>
        </w:tc>
        <w:tc>
          <w:tcPr>
            <w:tcW w:type="dxa" w:w="2784"/>
            <w:tcBorders>
              <w:top w:val="single" w:color="D9C3A8" w:sz="4"/>
              <w:left w:val="single" w:color="D9C3A8" w:sz="4"/>
              <w:bottom w:val="single" w:color="D9C3A8" w:sz="4"/>
              <w:right w:val="single" w:color="D9C3A8" w:sz="4"/>
            </w:tcBorders>
            <w:shd w:fill="F7ECD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19"/>
                <w:szCs w:val="19"/>
              </w:rPr>
              <w:t xml:space="preserve">"Canal directo por WhatsApp con recompra automatizada: 35 % de los clientes de stand compran de nuevo"</w:t>
            </w:r>
          </w:p>
        </w:tc>
        <w:tc>
          <w:tcPr>
            <w:tcW w:type="dxa" w:w="2784"/>
            <w:tcBorders>
              <w:top w:val="single" w:color="D9C3A8" w:sz="4"/>
              <w:left w:val="single" w:color="D9C3A8" w:sz="4"/>
              <w:bottom w:val="single" w:color="D9C3A8" w:sz="4"/>
              <w:right w:val="single" w:color="D9C3A8" w:sz="4"/>
            </w:tcBorders>
            <w:shd w:fill="F7ECD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19"/>
                <w:szCs w:val="19"/>
              </w:rPr>
              <w:t xml:space="preserve">Es algo interno (una fortaleza del plan), no del entorno. Propuesta: "O3: Uso masivo de celular e internet en Lima: el 82.7 % de los hogares tiene internet y el 91.5 % de quienes lo usan se conecta por celular (INEI, 26-jun-2026). Facilita la recompra por WhatsApp y el escaneo del QR." La recompra del 35 % pasa a F7. No es "automatizada": no hay suscripción; la app avisa y el padre pide en 1 clic</w:t>
            </w:r>
          </w:p>
        </w:tc>
        <w:tc>
          <w:tcPr>
            <w:tcW w:type="dxa" w:w="2783"/>
            <w:tcBorders>
              <w:top w:val="single" w:color="D9C3A8" w:sz="4"/>
              <w:left w:val="single" w:color="D9C3A8" w:sz="4"/>
              <w:bottom w:val="single" w:color="D9C3A8" w:sz="4"/>
              <w:right w:val="single" w:color="D9C3A8" w:sz="4"/>
            </w:tcBorders>
            <w:shd w:fill="F7ECD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19"/>
                <w:szCs w:val="19"/>
              </w:rPr>
              <w:t xml:space="preserve">INEI, ENAHO; HECHOS_v7</w:t>
            </w:r>
          </w:p>
        </w:tc>
      </w:tr>
      <w:tr>
        <w:trPr>
          <w:tblHeader w:val="false"/>
        </w:trPr>
        <w:tc>
          <w:tcPr>
            <w:tcW w:type="dxa" w:w="1009"/>
            <w:tcBorders>
              <w:top w:val="single" w:color="D9C3A8" w:sz="4"/>
              <w:left w:val="single" w:color="D9C3A8" w:sz="4"/>
              <w:bottom w:val="single" w:color="D9C3A8" w:sz="4"/>
              <w:right w:val="single" w:color="D9C3A8" w:sz="4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19"/>
                <w:szCs w:val="19"/>
              </w:rPr>
              <w:t xml:space="preserve">O4</w:t>
            </w:r>
          </w:p>
        </w:tc>
        <w:tc>
          <w:tcPr>
            <w:tcW w:type="dxa" w:w="2784"/>
            <w:tcBorders>
              <w:top w:val="single" w:color="D9C3A8" w:sz="4"/>
              <w:left w:val="single" w:color="D9C3A8" w:sz="4"/>
              <w:bottom w:val="single" w:color="D9C3A8" w:sz="4"/>
              <w:right w:val="single" w:color="D9C3A8" w:sz="4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19"/>
                <w:szCs w:val="19"/>
              </w:rPr>
              <w:t xml:space="preserve">"Segmento 'El Consejero' (25 % del volumen): pediatras, nutricionistas y mamás líderes"</w:t>
            </w:r>
          </w:p>
        </w:tc>
        <w:tc>
          <w:tcPr>
            <w:tcW w:type="dxa" w:w="2784"/>
            <w:tcBorders>
              <w:top w:val="single" w:color="D9C3A8" w:sz="4"/>
              <w:left w:val="single" w:color="D9C3A8" w:sz="4"/>
              <w:bottom w:val="single" w:color="D9C3A8" w:sz="4"/>
              <w:right w:val="single" w:color="D9C3A8" w:sz="4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19"/>
                <w:szCs w:val="19"/>
              </w:rPr>
              <w:t xml:space="preserve">"El Consejero (25 % del volumen) es el concesionario del quiosco, la nutricionista o el pediatra que recomienda; recibe muestras y el informe del laboratorio, no pauta. Las mamás embajadoras son otro programa: S/200 al mes en premios para el padre (unas 20 familias nuevas al mes)."</w:t>
            </w:r>
          </w:p>
        </w:tc>
        <w:tc>
          <w:tcPr>
            <w:tcW w:type="dxa" w:w="2783"/>
            <w:tcBorders>
              <w:top w:val="single" w:color="D9C3A8" w:sz="4"/>
              <w:left w:val="single" w:color="D9C3A8" w:sz="4"/>
              <w:bottom w:val="single" w:color="D9C3A8" w:sz="4"/>
              <w:right w:val="single" w:color="D9C3A8" w:sz="4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19"/>
                <w:szCs w:val="19"/>
              </w:rPr>
              <w:t xml:space="preserve">HECHOS_v7, Arquetipos; documento 10</w:t>
            </w:r>
          </w:p>
        </w:tc>
      </w:tr>
      <w:tr>
        <w:trPr>
          <w:tblHeader w:val="false"/>
        </w:trPr>
        <w:tc>
          <w:tcPr>
            <w:tcW w:type="dxa" w:w="1009"/>
            <w:tcBorders>
              <w:top w:val="single" w:color="D9C3A8" w:sz="4"/>
              <w:left w:val="single" w:color="D9C3A8" w:sz="4"/>
              <w:bottom w:val="single" w:color="D9C3A8" w:sz="4"/>
              <w:right w:val="single" w:color="D9C3A8" w:sz="4"/>
            </w:tcBorders>
            <w:shd w:fill="F7ECD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19"/>
                <w:szCs w:val="19"/>
              </w:rPr>
              <w:t xml:space="preserve">O5</w:t>
            </w:r>
          </w:p>
        </w:tc>
        <w:tc>
          <w:tcPr>
            <w:tcW w:type="dxa" w:w="2784"/>
            <w:tcBorders>
              <w:top w:val="single" w:color="D9C3A8" w:sz="4"/>
              <w:left w:val="single" w:color="D9C3A8" w:sz="4"/>
              <w:bottom w:val="single" w:color="D9C3A8" w:sz="4"/>
              <w:right w:val="single" w:color="D9C3A8" w:sz="4"/>
            </w:tcBorders>
            <w:shd w:fill="F7ECD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19"/>
                <w:szCs w:val="19"/>
              </w:rPr>
              <w:t xml:space="preserve">"Campaña escolar (febrero), Día del Niño (abril), kermeses y cumpleaños"</w:t>
            </w:r>
          </w:p>
        </w:tc>
        <w:tc>
          <w:tcPr>
            <w:tcW w:type="dxa" w:w="2784"/>
            <w:tcBorders>
              <w:top w:val="single" w:color="D9C3A8" w:sz="4"/>
              <w:left w:val="single" w:color="D9C3A8" w:sz="4"/>
              <w:bottom w:val="single" w:color="D9C3A8" w:sz="4"/>
              <w:right w:val="single" w:color="D9C3A8" w:sz="4"/>
            </w:tcBorders>
            <w:shd w:fill="F7ECD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19"/>
                <w:szCs w:val="19"/>
              </w:rPr>
              <w:t xml:space="preserve">Correcto. Agregar fechas: Día del Niño Peruano, domingo 11-abr-2027 (feria pagada); Día de la Madre 9-may; Día del Padre 20-jun; Día del Niño de agosto 15-ago (fecha comercial de los malls); 40 eventos sin costo en el año</w:t>
            </w:r>
          </w:p>
        </w:tc>
        <w:tc>
          <w:tcPr>
            <w:tcW w:type="dxa" w:w="2783"/>
            <w:tcBorders>
              <w:top w:val="single" w:color="D9C3A8" w:sz="4"/>
              <w:left w:val="single" w:color="D9C3A8" w:sz="4"/>
              <w:bottom w:val="single" w:color="D9C3A8" w:sz="4"/>
              <w:right w:val="single" w:color="D9C3A8" w:sz="4"/>
            </w:tcBorders>
            <w:shd w:fill="F7ECD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19"/>
                <w:szCs w:val="19"/>
              </w:rPr>
              <w:t xml:space="preserve">HECHOS_v7, Fechas clave</w:t>
            </w:r>
          </w:p>
        </w:tc>
      </w:tr>
      <w:tr>
        <w:trPr>
          <w:tblHeader w:val="false"/>
        </w:trPr>
        <w:tc>
          <w:tcPr>
            <w:tcW w:type="dxa" w:w="1009"/>
            <w:tcBorders>
              <w:top w:val="single" w:color="D9C3A8" w:sz="4"/>
              <w:left w:val="single" w:color="D9C3A8" w:sz="4"/>
              <w:bottom w:val="single" w:color="D9C3A8" w:sz="4"/>
              <w:right w:val="single" w:color="D9C3A8" w:sz="4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19"/>
                <w:szCs w:val="19"/>
              </w:rPr>
              <w:t xml:space="preserve">A1</w:t>
            </w:r>
          </w:p>
        </w:tc>
        <w:tc>
          <w:tcPr>
            <w:tcW w:type="dxa" w:w="2784"/>
            <w:tcBorders>
              <w:top w:val="single" w:color="D9C3A8" w:sz="4"/>
              <w:left w:val="single" w:color="D9C3A8" w:sz="4"/>
              <w:bottom w:val="single" w:color="D9C3A8" w:sz="4"/>
              <w:right w:val="single" w:color="D9C3A8" w:sz="4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19"/>
                <w:szCs w:val="19"/>
              </w:rPr>
              <w:t xml:space="preserve">"Bimbo Little Bites... distribución omnipresente en bodegas y quioscos a bajo precio aparente, aunque tengan 2 octógonos"</w:t>
            </w:r>
          </w:p>
        </w:tc>
        <w:tc>
          <w:tcPr>
            <w:tcW w:type="dxa" w:w="2784"/>
            <w:tcBorders>
              <w:top w:val="single" w:color="D9C3A8" w:sz="4"/>
              <w:left w:val="single" w:color="D9C3A8" w:sz="4"/>
              <w:bottom w:val="single" w:color="D9C3A8" w:sz="4"/>
              <w:right w:val="single" w:color="D9C3A8" w:sz="4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19"/>
                <w:szCs w:val="19"/>
              </w:rPr>
              <w:t xml:space="preserve">"Bimbo (Little Bites y Nutra Bien) en supermercados a S/1.67 y S/1.68 por 20 g. Little Bites lleva 2 octógonos ('Alto en grasas saturadas' y 'Alto en azúcar'); Nutra Bien, 1 ('Alto en azúcar')." Bodegas y quioscos [POR CONFIRMAR]</w:t>
            </w:r>
          </w:p>
        </w:tc>
        <w:tc>
          <w:tcPr>
            <w:tcW w:type="dxa" w:w="2783"/>
            <w:tcBorders>
              <w:top w:val="single" w:color="D9C3A8" w:sz="4"/>
              <w:left w:val="single" w:color="D9C3A8" w:sz="4"/>
              <w:bottom w:val="single" w:color="D9C3A8" w:sz="4"/>
              <w:right w:val="single" w:color="D9C3A8" w:sz="4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19"/>
                <w:szCs w:val="19"/>
              </w:rPr>
              <w:t xml:space="preserve">Plaza Vea, 19-oct-2026 (precio y foto del empaque)</w:t>
            </w:r>
          </w:p>
        </w:tc>
      </w:tr>
      <w:tr>
        <w:trPr>
          <w:tblHeader w:val="false"/>
        </w:trPr>
        <w:tc>
          <w:tcPr>
            <w:tcW w:type="dxa" w:w="1009"/>
            <w:tcBorders>
              <w:top w:val="single" w:color="D9C3A8" w:sz="4"/>
              <w:left w:val="single" w:color="D9C3A8" w:sz="4"/>
              <w:bottom w:val="single" w:color="D9C3A8" w:sz="4"/>
              <w:right w:val="single" w:color="D9C3A8" w:sz="4"/>
            </w:tcBorders>
            <w:shd w:fill="F7ECD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19"/>
                <w:szCs w:val="19"/>
              </w:rPr>
              <w:t xml:space="preserve">A2</w:t>
            </w:r>
          </w:p>
        </w:tc>
        <w:tc>
          <w:tcPr>
            <w:tcW w:type="dxa" w:w="2784"/>
            <w:tcBorders>
              <w:top w:val="single" w:color="D9C3A8" w:sz="4"/>
              <w:left w:val="single" w:color="D9C3A8" w:sz="4"/>
              <w:bottom w:val="single" w:color="D9C3A8" w:sz="4"/>
              <w:right w:val="single" w:color="D9C3A8" w:sz="4"/>
            </w:tcBorders>
            <w:shd w:fill="F7ECD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19"/>
                <w:szCs w:val="19"/>
              </w:rPr>
              <w:t xml:space="preserve">"Fika, La Purita: brownies con alulosa o veganos con fuerte posicionamiento en Flora &amp; Fauna y Wong"</w:t>
            </w:r>
          </w:p>
        </w:tc>
        <w:tc>
          <w:tcPr>
            <w:tcW w:type="dxa" w:w="2784"/>
            <w:tcBorders>
              <w:top w:val="single" w:color="D9C3A8" w:sz="4"/>
              <w:left w:val="single" w:color="D9C3A8" w:sz="4"/>
              <w:bottom w:val="single" w:color="D9C3A8" w:sz="4"/>
              <w:right w:val="single" w:color="D9C3A8" w:sz="4"/>
            </w:tcBorders>
            <w:shd w:fill="F7ECD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19"/>
                <w:szCs w:val="19"/>
              </w:rPr>
              <w:t xml:space="preserve">"Fika (brownie de 70 g a S/14.00, 'libre de azúcar', en su web) y La Purita (brownies veganos x 8 a S/16.90, congelados, en su web; la marca vende otros productos en Wong y Plaza Vea)." Flora &amp; Fauna y "fuerte posicionamiento" [POR CONFIRMAR]</w:t>
            </w:r>
          </w:p>
        </w:tc>
        <w:tc>
          <w:tcPr>
            <w:tcW w:type="dxa" w:w="2783"/>
            <w:tcBorders>
              <w:top w:val="single" w:color="D9C3A8" w:sz="4"/>
              <w:left w:val="single" w:color="D9C3A8" w:sz="4"/>
              <w:bottom w:val="single" w:color="D9C3A8" w:sz="4"/>
              <w:right w:val="single" w:color="D9C3A8" w:sz="4"/>
            </w:tcBorders>
            <w:shd w:fill="F7ECD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19"/>
                <w:szCs w:val="19"/>
              </w:rPr>
              <w:t xml:space="preserve">fika.pe y lapurita.com, 19-oct-2026; Wong y Plaza Vea, 19-oct-2026</w:t>
            </w:r>
          </w:p>
        </w:tc>
      </w:tr>
      <w:tr>
        <w:trPr>
          <w:tblHeader w:val="false"/>
        </w:trPr>
        <w:tc>
          <w:tcPr>
            <w:tcW w:type="dxa" w:w="1009"/>
            <w:tcBorders>
              <w:top w:val="single" w:color="D9C3A8" w:sz="4"/>
              <w:left w:val="single" w:color="D9C3A8" w:sz="4"/>
              <w:bottom w:val="single" w:color="D9C3A8" w:sz="4"/>
              <w:right w:val="single" w:color="D9C3A8" w:sz="4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19"/>
                <w:szCs w:val="19"/>
              </w:rPr>
              <w:t xml:space="preserve">A3</w:t>
            </w:r>
          </w:p>
        </w:tc>
        <w:tc>
          <w:tcPr>
            <w:tcW w:type="dxa" w:w="2784"/>
            <w:tcBorders>
              <w:top w:val="single" w:color="D9C3A8" w:sz="4"/>
              <w:left w:val="single" w:color="D9C3A8" w:sz="4"/>
              <w:bottom w:val="single" w:color="D9C3A8" w:sz="4"/>
              <w:right w:val="single" w:color="D9C3A8" w:sz="4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19"/>
                <w:szCs w:val="19"/>
              </w:rPr>
              <w:t xml:space="preserve">"Nutri H: galletas de bajo costo (S/4.00) con alta recordación social en televisión, aunque de textura seca y sabor metálico"</w:t>
            </w:r>
          </w:p>
        </w:tc>
        <w:tc>
          <w:tcPr>
            <w:tcW w:type="dxa" w:w="2784"/>
            <w:tcBorders>
              <w:top w:val="single" w:color="D9C3A8" w:sz="4"/>
              <w:left w:val="single" w:color="D9C3A8" w:sz="4"/>
              <w:bottom w:val="single" w:color="D9C3A8" w:sz="4"/>
              <w:right w:val="single" w:color="D9C3A8" w:sz="4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19"/>
                <w:szCs w:val="19"/>
              </w:rPr>
              <w:t xml:space="preserve">"Nutri H: galleta con hemoglobina bovina a S/48.00 la caja de 30 (S/3.20 por 20 g), con mensaje 'antianémico'. Forticao: chocolate con hierro hemínico, x 40 a S/70.00." "Recordación en televisión", "textura seca" y "sabor metálico" no tienen fuente [POR CONFIRMAR]</w:t>
            </w:r>
          </w:p>
        </w:tc>
        <w:tc>
          <w:tcPr>
            <w:tcW w:type="dxa" w:w="2783"/>
            <w:tcBorders>
              <w:top w:val="single" w:color="D9C3A8" w:sz="4"/>
              <w:left w:val="single" w:color="D9C3A8" w:sz="4"/>
              <w:bottom w:val="single" w:color="D9C3A8" w:sz="4"/>
              <w:right w:val="single" w:color="D9C3A8" w:sz="4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19"/>
                <w:szCs w:val="19"/>
              </w:rPr>
              <w:t xml:space="preserve">nutrih.pe y tienda de Forticao, 19-oct-2026</w:t>
            </w:r>
          </w:p>
        </w:tc>
      </w:tr>
      <w:tr>
        <w:trPr>
          <w:tblHeader w:val="false"/>
        </w:trPr>
        <w:tc>
          <w:tcPr>
            <w:tcW w:type="dxa" w:w="1009"/>
            <w:tcBorders>
              <w:top w:val="single" w:color="D9C3A8" w:sz="4"/>
              <w:left w:val="single" w:color="D9C3A8" w:sz="4"/>
              <w:bottom w:val="single" w:color="D9C3A8" w:sz="4"/>
              <w:right w:val="single" w:color="D9C3A8" w:sz="4"/>
            </w:tcBorders>
            <w:shd w:fill="F7ECD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19"/>
                <w:szCs w:val="19"/>
              </w:rPr>
              <w:t xml:space="preserve">A4</w:t>
            </w:r>
          </w:p>
        </w:tc>
        <w:tc>
          <w:tcPr>
            <w:tcW w:type="dxa" w:w="2784"/>
            <w:tcBorders>
              <w:top w:val="single" w:color="D9C3A8" w:sz="4"/>
              <w:left w:val="single" w:color="D9C3A8" w:sz="4"/>
              <w:bottom w:val="single" w:color="D9C3A8" w:sz="4"/>
              <w:right w:val="single" w:color="D9C3A8" w:sz="4"/>
            </w:tcBorders>
            <w:shd w:fill="F7ECD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19"/>
                <w:szCs w:val="19"/>
              </w:rPr>
              <w:t xml:space="preserve">"Carga financiera del préstamo inicial: S/16,000 al 35 % con 24 cuotas de S/898... punto de equilibrio (2,100 a 4,400)"</w:t>
            </w:r>
          </w:p>
        </w:tc>
        <w:tc>
          <w:tcPr>
            <w:tcW w:type="dxa" w:w="2784"/>
            <w:tcBorders>
              <w:top w:val="single" w:color="D9C3A8" w:sz="4"/>
              <w:left w:val="single" w:color="D9C3A8" w:sz="4"/>
              <w:bottom w:val="single" w:color="D9C3A8" w:sz="4"/>
              <w:right w:val="single" w:color="D9C3A8" w:sz="4"/>
            </w:tcBorders>
            <w:shd w:fill="F7ECD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19"/>
                <w:szCs w:val="19"/>
              </w:rPr>
              <w:t xml:space="preserve">Las cifras son correctas (préstamo S/16,000, TEA 35 % [POR CONFIRMAR en la SBS], 24 cuotas de S/898; equilibrio de 2,100 brownies al mes con 1 punto, 3,100 a 3,500 con 2 y 4,200 a 4,400 con 3). Pero la deuda es interna. Propuesta para mantener el código: "A4: Crédito caro para una microempresa nueva: TEA de 35 % [POR CONFIRMAR], que fija una cuota de S/898 al mes por 24 meses." La parte del equilibrio pasa a D6</w:t>
            </w:r>
          </w:p>
        </w:tc>
        <w:tc>
          <w:tcPr>
            <w:tcW w:type="dxa" w:w="2783"/>
            <w:tcBorders>
              <w:top w:val="single" w:color="D9C3A8" w:sz="4"/>
              <w:left w:val="single" w:color="D9C3A8" w:sz="4"/>
              <w:bottom w:val="single" w:color="D9C3A8" w:sz="4"/>
              <w:right w:val="single" w:color="D9C3A8" w:sz="4"/>
            </w:tcBorders>
            <w:shd w:fill="F7ECD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19"/>
                <w:szCs w:val="19"/>
              </w:rPr>
              <w:t xml:space="preserve">HECHOS_v7; Excel v7, hoja Inversion</w:t>
            </w:r>
          </w:p>
        </w:tc>
      </w:tr>
      <w:tr>
        <w:trPr>
          <w:tblHeader w:val="false"/>
        </w:trPr>
        <w:tc>
          <w:tcPr>
            <w:tcW w:type="dxa" w:w="1009"/>
            <w:tcBorders>
              <w:top w:val="single" w:color="D9C3A8" w:sz="4"/>
              <w:left w:val="single" w:color="D9C3A8" w:sz="4"/>
              <w:bottom w:val="single" w:color="D9C3A8" w:sz="4"/>
              <w:right w:val="single" w:color="D9C3A8" w:sz="4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19"/>
                <w:szCs w:val="19"/>
              </w:rPr>
              <w:t xml:space="preserve">A5</w:t>
            </w:r>
          </w:p>
        </w:tc>
        <w:tc>
          <w:tcPr>
            <w:tcW w:type="dxa" w:w="2784"/>
            <w:tcBorders>
              <w:top w:val="single" w:color="D9C3A8" w:sz="4"/>
              <w:left w:val="single" w:color="D9C3A8" w:sz="4"/>
              <w:bottom w:val="single" w:color="D9C3A8" w:sz="4"/>
              <w:right w:val="single" w:color="D9C3A8" w:sz="4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19"/>
                <w:szCs w:val="19"/>
              </w:rPr>
              <w:t xml:space="preserve">"Caída de demanda escolar en verano (enero y febrero)... ferias y carritos de temporada"</w:t>
            </w:r>
          </w:p>
        </w:tc>
        <w:tc>
          <w:tcPr>
            <w:tcW w:type="dxa" w:w="2784"/>
            <w:tcBorders>
              <w:top w:val="single" w:color="D9C3A8" w:sz="4"/>
              <w:left w:val="single" w:color="D9C3A8" w:sz="4"/>
              <w:bottom w:val="single" w:color="D9C3A8" w:sz="4"/>
              <w:right w:val="single" w:color="D9C3A8" w:sz="4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19"/>
                <w:szCs w:val="19"/>
              </w:rPr>
              <w:t xml:space="preserve">Correcto. Precisar: el año escolar va de marzo a mediados de diciembre; en enero se venden solo 870 brownies y enero y febrero dan pérdida (−S/2,539 y −S/1,513)</w:t>
            </w:r>
          </w:p>
        </w:tc>
        <w:tc>
          <w:tcPr>
            <w:tcW w:type="dxa" w:w="2783"/>
            <w:tcBorders>
              <w:top w:val="single" w:color="D9C3A8" w:sz="4"/>
              <w:left w:val="single" w:color="D9C3A8" w:sz="4"/>
              <w:bottom w:val="single" w:color="D9C3A8" w:sz="4"/>
              <w:right w:val="single" w:color="D9C3A8" w:sz="4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19"/>
                <w:szCs w:val="19"/>
              </w:rPr>
              <w:t xml:space="preserve">Excel v7, hoja Mensual</w:t>
            </w:r>
          </w:p>
        </w:tc>
      </w:tr>
    </w:tbl>
    <w:p>
      <w:pPr>
        <w:spacing w:after="80"/>
      </w:pPr>
    </w:p>
    <w:p>
      <w:pPr>
        <w:spacing w:after="120"/>
      </w:pPr>
      <w:r>
        <w:rPr>
          <w:b/>
          <w:bCs/>
        </w:rPr>
        <w:t xml:space="preserve">Sugerencia de líneas nuevas</w:t>
      </w:r>
      <w:r>
        <w:t xml:space="preserve"> (con datos que ya existen):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F7:</w:t>
      </w:r>
      <w:r>
        <w:t xml:space="preserve"> "Recompra por WhatsApp: el plan supone que el 35 % de lo vendido en físico vuelve por WhatsApp el mes siguiente [HIPÓTESIS], con entregas agrupadas 2 días por semana o recojo en el stand, gratis desde 2 packs."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D6:</w:t>
      </w:r>
      <w:r>
        <w:t xml:space="preserve"> "Hay que vender entre 2,100 (1 punto) y 4,400 (3 puntos) brownies al mes para no perder; la caja más baja es S/2,545 en febrero de 2027."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A6 (del PESTEL de Angie):</w:t>
      </w:r>
      <w:r>
        <w:t xml:space="preserve"> "Precio del cacao muy variable (US$5,645 por tonelada el 16-oct-2026, después de pasar los US$13,000 a fines de 2024) y riesgo de un Niño costero en 2026-2027 [POR CONFIRMAR en el comunicado oficial del ENFEN]."</w:t>
      </w:r>
    </w:p>
    <w:p>
      <w:pPr>
        <w:pStyle w:val="Heading2"/>
      </w:pPr>
      <w:r>
        <w:t xml:space="preserve">6.5 FODA cruzado: línea por línea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73"/>
        <w:gridCol w:w="2977"/>
        <w:gridCol w:w="2977"/>
        <w:gridCol w:w="2333"/>
      </w:tblGrid>
      <w:tr>
        <w:trPr>
          <w:tblHeader/>
        </w:trPr>
        <w:tc>
          <w:tcPr>
            <w:tcW w:type="dxa" w:w="1073"/>
            <w:tcBorders>
              <w:top w:val="single" w:color="D9C3A8" w:sz="4"/>
              <w:left w:val="single" w:color="D9C3A8" w:sz="4"/>
              <w:bottom w:val="single" w:color="D9C3A8" w:sz="4"/>
              <w:right w:val="single" w:color="D9C3A8" w:sz="4"/>
            </w:tcBorders>
            <w:shd w:fill="4A2018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Línea</w:t>
            </w:r>
          </w:p>
        </w:tc>
        <w:tc>
          <w:tcPr>
            <w:tcW w:type="dxa" w:w="2977"/>
            <w:tcBorders>
              <w:top w:val="single" w:color="D9C3A8" w:sz="4"/>
              <w:left w:val="single" w:color="D9C3A8" w:sz="4"/>
              <w:bottom w:val="single" w:color="D9C3A8" w:sz="4"/>
              <w:right w:val="single" w:color="D9C3A8" w:sz="4"/>
            </w:tcBorders>
            <w:shd w:fill="4A2018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Dice</w:t>
            </w:r>
          </w:p>
        </w:tc>
        <w:tc>
          <w:tcPr>
            <w:tcW w:type="dxa" w:w="2977"/>
            <w:tcBorders>
              <w:top w:val="single" w:color="D9C3A8" w:sz="4"/>
              <w:left w:val="single" w:color="D9C3A8" w:sz="4"/>
              <w:bottom w:val="single" w:color="D9C3A8" w:sz="4"/>
              <w:right w:val="single" w:color="D9C3A8" w:sz="4"/>
            </w:tcBorders>
            <w:shd w:fill="4A2018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Debe decir</w:t>
            </w:r>
          </w:p>
        </w:tc>
        <w:tc>
          <w:tcPr>
            <w:tcW w:type="dxa" w:w="2333"/>
            <w:tcBorders>
              <w:top w:val="single" w:color="D9C3A8" w:sz="4"/>
              <w:left w:val="single" w:color="D9C3A8" w:sz="4"/>
              <w:bottom w:val="single" w:color="D9C3A8" w:sz="4"/>
              <w:right w:val="single" w:color="D9C3A8" w:sz="4"/>
            </w:tcBorders>
            <w:shd w:fill="4A2018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Fuente</w:t>
            </w:r>
          </w:p>
        </w:tc>
      </w:tr>
      <w:tr>
        <w:trPr>
          <w:tblHeader w:val="false"/>
        </w:trPr>
        <w:tc>
          <w:tcPr>
            <w:tcW w:type="dxa" w:w="1073"/>
            <w:tcBorders>
              <w:top w:val="single" w:color="D9C3A8" w:sz="4"/>
              <w:left w:val="single" w:color="D9C3A8" w:sz="4"/>
              <w:bottom w:val="single" w:color="D9C3A8" w:sz="4"/>
              <w:right w:val="single" w:color="D9C3A8" w:sz="4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19"/>
                <w:szCs w:val="19"/>
              </w:rPr>
              <w:t xml:space="preserve">FO1 [F4+F6+O2]</w:t>
            </w:r>
          </w:p>
        </w:tc>
        <w:tc>
          <w:tcPr>
            <w:tcW w:type="dxa" w:w="2977"/>
            <w:tcBorders>
              <w:top w:val="single" w:color="D9C3A8" w:sz="4"/>
              <w:left w:val="single" w:color="D9C3A8" w:sz="4"/>
              <w:bottom w:val="single" w:color="D9C3A8" w:sz="4"/>
              <w:right w:val="single" w:color="D9C3A8" w:sz="4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19"/>
                <w:szCs w:val="19"/>
              </w:rPr>
              <w:t xml:space="preserve">"Aprovechar los 0 octógonos, los 3 sabores y el precio escolar de S/4.00 para homologar AndiBite en quioscos de Innova Schools y colegios de Lima Top regulados por la Ley 30021"</w:t>
            </w:r>
          </w:p>
        </w:tc>
        <w:tc>
          <w:tcPr>
            <w:tcW w:type="dxa" w:w="2977"/>
            <w:tcBorders>
              <w:top w:val="single" w:color="D9C3A8" w:sz="4"/>
              <w:left w:val="single" w:color="D9C3A8" w:sz="4"/>
              <w:bottom w:val="single" w:color="D9C3A8" w:sz="4"/>
              <w:right w:val="single" w:color="D9C3A8" w:sz="4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19"/>
                <w:szCs w:val="19"/>
              </w:rPr>
              <w:t xml:space="preserve">Cruce correcto. Cambiar "0 octógonos" por "la meta sin octógono, una vez confirmada en laboratorio". Precisar: el alumno paga S/4.00 y AndiBite recibe S/3.20. Meta: 5 colegios (2 A y 3 B) desde marzo. La regla de los quioscos son los lineamientos del MINSA (RM 195-2019/MINSA) dentro de la Ley 30021. Innova Schools es un ejemplo de cadena de pensión media [POR CONFIRMAR el contacto]</w:t>
            </w:r>
          </w:p>
        </w:tc>
        <w:tc>
          <w:tcPr>
            <w:tcW w:type="dxa" w:w="2333"/>
            <w:tcBorders>
              <w:top w:val="single" w:color="D9C3A8" w:sz="4"/>
              <w:left w:val="single" w:color="D9C3A8" w:sz="4"/>
              <w:bottom w:val="single" w:color="D9C3A8" w:sz="4"/>
              <w:right w:val="single" w:color="D9C3A8" w:sz="4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19"/>
                <w:szCs w:val="19"/>
              </w:rPr>
              <w:t xml:space="preserve">HECHOS_v7; documento 10</w:t>
            </w:r>
          </w:p>
        </w:tc>
      </w:tr>
      <w:tr>
        <w:trPr>
          <w:tblHeader w:val="false"/>
        </w:trPr>
        <w:tc>
          <w:tcPr>
            <w:tcW w:type="dxa" w:w="1073"/>
            <w:tcBorders>
              <w:top w:val="single" w:color="D9C3A8" w:sz="4"/>
              <w:left w:val="single" w:color="D9C3A8" w:sz="4"/>
              <w:bottom w:val="single" w:color="D9C3A8" w:sz="4"/>
              <w:right w:val="single" w:color="D9C3A8" w:sz="4"/>
            </w:tcBorders>
            <w:shd w:fill="F7ECD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19"/>
                <w:szCs w:val="19"/>
              </w:rPr>
              <w:t xml:space="preserve">FO2 [F2+F3+O1+O4]</w:t>
            </w:r>
          </w:p>
        </w:tc>
        <w:tc>
          <w:tcPr>
            <w:tcW w:type="dxa" w:w="2977"/>
            <w:tcBorders>
              <w:top w:val="single" w:color="D9C3A8" w:sz="4"/>
              <w:left w:val="single" w:color="D9C3A8" w:sz="4"/>
              <w:bottom w:val="single" w:color="D9C3A8" w:sz="4"/>
              <w:right w:val="single" w:color="D9C3A8" w:sz="4"/>
            </w:tcBorders>
            <w:shd w:fill="F7ECD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19"/>
                <w:szCs w:val="19"/>
              </w:rPr>
              <w:t xml:space="preserve">"Desplegar la certificación de laboratorio de 1.9 mg de hierro hemínico y la App Andi en visitas a pediatras y nutricionistas"</w:t>
            </w:r>
          </w:p>
        </w:tc>
        <w:tc>
          <w:tcPr>
            <w:tcW w:type="dxa" w:w="2977"/>
            <w:tcBorders>
              <w:top w:val="single" w:color="D9C3A8" w:sz="4"/>
              <w:left w:val="single" w:color="D9C3A8" w:sz="4"/>
              <w:bottom w:val="single" w:color="D9C3A8" w:sz="4"/>
              <w:right w:val="single" w:color="D9C3A8" w:sz="4"/>
            </w:tcBorders>
            <w:shd w:fill="F7ECD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19"/>
                <w:szCs w:val="19"/>
              </w:rPr>
              <w:t xml:space="preserve">No hay certificación: 1.9 mg es un cálculo [POR CONFIRMAR en laboratorio]. Frase: "Llevar a pediatras y nutricionistas (El Consejero) muestras y el informe del laboratorio del lote cuando exista, junto con la app 'Andi, Misión Hierro'." Ya está en el plan: 10 kits de 5 para profesionales en enero</w:t>
            </w:r>
          </w:p>
        </w:tc>
        <w:tc>
          <w:tcPr>
            <w:tcW w:type="dxa" w:w="2333"/>
            <w:tcBorders>
              <w:top w:val="single" w:color="D9C3A8" w:sz="4"/>
              <w:left w:val="single" w:color="D9C3A8" w:sz="4"/>
              <w:bottom w:val="single" w:color="D9C3A8" w:sz="4"/>
              <w:right w:val="single" w:color="D9C3A8" w:sz="4"/>
            </w:tcBorders>
            <w:shd w:fill="F7ECD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19"/>
                <w:szCs w:val="19"/>
              </w:rPr>
              <w:t xml:space="preserve">HECHOS_v7; T2_16</w:t>
            </w:r>
          </w:p>
        </w:tc>
      </w:tr>
      <w:tr>
        <w:trPr>
          <w:tblHeader w:val="false"/>
        </w:trPr>
        <w:tc>
          <w:tcPr>
            <w:tcW w:type="dxa" w:w="1073"/>
            <w:tcBorders>
              <w:top w:val="single" w:color="D9C3A8" w:sz="4"/>
              <w:left w:val="single" w:color="D9C3A8" w:sz="4"/>
              <w:bottom w:val="single" w:color="D9C3A8" w:sz="4"/>
              <w:right w:val="single" w:color="D9C3A8" w:sz="4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19"/>
                <w:szCs w:val="19"/>
              </w:rPr>
              <w:t xml:space="preserve">FO3 [F3+F6+O3]</w:t>
            </w:r>
          </w:p>
        </w:tc>
        <w:tc>
          <w:tcPr>
            <w:tcW w:type="dxa" w:w="2977"/>
            <w:tcBorders>
              <w:top w:val="single" w:color="D9C3A8" w:sz="4"/>
              <w:left w:val="single" w:color="D9C3A8" w:sz="4"/>
              <w:bottom w:val="single" w:color="D9C3A8" w:sz="4"/>
              <w:right w:val="single" w:color="D9C3A8" w:sz="4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19"/>
                <w:szCs w:val="19"/>
              </w:rPr>
              <w:t xml:space="preserve">"Avisos automáticos en la app... logrando que el 35 % de compradores de stands y ferias repitan pedido semanal"</w:t>
            </w:r>
          </w:p>
        </w:tc>
        <w:tc>
          <w:tcPr>
            <w:tcW w:type="dxa" w:w="2977"/>
            <w:tcBorders>
              <w:top w:val="single" w:color="D9C3A8" w:sz="4"/>
              <w:left w:val="single" w:color="D9C3A8" w:sz="4"/>
              <w:bottom w:val="single" w:color="D9C3A8" w:sz="4"/>
              <w:right w:val="single" w:color="D9C3A8" w:sz="4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19"/>
                <w:szCs w:val="19"/>
              </w:rPr>
              <w:t xml:space="preserve">El 35 % es de los brownies vendidos en físico que vuelven por WhatsApp el mes siguiente, no de los compradores y no cada semana. Sin suscripción: la app avisa cuando se acaba el pack y el padre pide en 1 clic. Si O3 pasa a ser "uso de celular", agregar F7 al cruce</w:t>
            </w:r>
          </w:p>
        </w:tc>
        <w:tc>
          <w:tcPr>
            <w:tcW w:type="dxa" w:w="2333"/>
            <w:tcBorders>
              <w:top w:val="single" w:color="D9C3A8" w:sz="4"/>
              <w:left w:val="single" w:color="D9C3A8" w:sz="4"/>
              <w:bottom w:val="single" w:color="D9C3A8" w:sz="4"/>
              <w:right w:val="single" w:color="D9C3A8" w:sz="4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19"/>
                <w:szCs w:val="19"/>
              </w:rPr>
              <w:t xml:space="preserve">HECHOS_v7; Excel v7, hoja Supuestos</w:t>
            </w:r>
          </w:p>
        </w:tc>
      </w:tr>
      <w:tr>
        <w:trPr>
          <w:tblHeader w:val="false"/>
        </w:trPr>
        <w:tc>
          <w:tcPr>
            <w:tcW w:type="dxa" w:w="1073"/>
            <w:tcBorders>
              <w:top w:val="single" w:color="D9C3A8" w:sz="4"/>
              <w:left w:val="single" w:color="D9C3A8" w:sz="4"/>
              <w:bottom w:val="single" w:color="D9C3A8" w:sz="4"/>
              <w:right w:val="single" w:color="D9C3A8" w:sz="4"/>
            </w:tcBorders>
            <w:shd w:fill="F7ECD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19"/>
                <w:szCs w:val="19"/>
              </w:rPr>
              <w:t xml:space="preserve">FO4 [F1+F5+O5]</w:t>
            </w:r>
          </w:p>
        </w:tc>
        <w:tc>
          <w:tcPr>
            <w:tcW w:type="dxa" w:w="2977"/>
            <w:tcBorders>
              <w:top w:val="single" w:color="D9C3A8" w:sz="4"/>
              <w:left w:val="single" w:color="D9C3A8" w:sz="4"/>
              <w:bottom w:val="single" w:color="D9C3A8" w:sz="4"/>
              <w:right w:val="single" w:color="D9C3A8" w:sz="4"/>
            </w:tcBorders>
            <w:shd w:fill="F7ECD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19"/>
                <w:szCs w:val="19"/>
              </w:rPr>
              <w:t xml:space="preserve">"Capitalizar el modelo de venta cara a cara (F1, F5) en Jockey Plaza, Real Plaza Salaverry y La Rambla durante la campaña escolar de febrero y el Día del Niño en abril"</w:t>
            </w:r>
          </w:p>
        </w:tc>
        <w:tc>
          <w:tcPr>
            <w:tcW w:type="dxa" w:w="2977"/>
            <w:tcBorders>
              <w:top w:val="single" w:color="D9C3A8" w:sz="4"/>
              <w:left w:val="single" w:color="D9C3A8" w:sz="4"/>
              <w:bottom w:val="single" w:color="D9C3A8" w:sz="4"/>
              <w:right w:val="single" w:color="D9C3A8" w:sz="4"/>
            </w:tcBorders>
            <w:shd w:fill="F7ECD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19"/>
                <w:szCs w:val="19"/>
              </w:rPr>
              <w:t xml:space="preserve">Cruce a revisar: F5 es la maquila, no la venta cara a cara. Usar F1+F6+O5. Puntos: en febrero y abril están Jockey Plaza (desde enero) y el punto 2 (Real Plaza Salaverry u Open Plaza Angamos, desde febrero, aún por elegir). La Rambla San Borja (o carrito en Wong o Vivanda) es el punto 3 y abre recién en agosto. La campaña escolar y el Día del Niño se trabajan con las 2 ferias pagadas</w:t>
            </w:r>
          </w:p>
        </w:tc>
        <w:tc>
          <w:tcPr>
            <w:tcW w:type="dxa" w:w="2333"/>
            <w:tcBorders>
              <w:top w:val="single" w:color="D9C3A8" w:sz="4"/>
              <w:left w:val="single" w:color="D9C3A8" w:sz="4"/>
              <w:bottom w:val="single" w:color="D9C3A8" w:sz="4"/>
              <w:right w:val="single" w:color="D9C3A8" w:sz="4"/>
            </w:tcBorders>
            <w:shd w:fill="F7ECD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19"/>
                <w:szCs w:val="19"/>
              </w:rPr>
              <w:t xml:space="preserve">HECHOS_v7, Canales</w:t>
            </w:r>
          </w:p>
        </w:tc>
      </w:tr>
      <w:tr>
        <w:trPr>
          <w:tblHeader w:val="false"/>
        </w:trPr>
        <w:tc>
          <w:tcPr>
            <w:tcW w:type="dxa" w:w="1073"/>
            <w:tcBorders>
              <w:top w:val="single" w:color="D9C3A8" w:sz="4"/>
              <w:left w:val="single" w:color="D9C3A8" w:sz="4"/>
              <w:bottom w:val="single" w:color="D9C3A8" w:sz="4"/>
              <w:right w:val="single" w:color="D9C3A8" w:sz="4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19"/>
                <w:szCs w:val="19"/>
              </w:rPr>
              <w:t xml:space="preserve">DO1 [D2+O1+O5]</w:t>
            </w:r>
          </w:p>
        </w:tc>
        <w:tc>
          <w:tcPr>
            <w:tcW w:type="dxa" w:w="2977"/>
            <w:tcBorders>
              <w:top w:val="single" w:color="D9C3A8" w:sz="4"/>
              <w:left w:val="single" w:color="D9C3A8" w:sz="4"/>
              <w:bottom w:val="single" w:color="D9C3A8" w:sz="4"/>
              <w:right w:val="single" w:color="D9C3A8" w:sz="4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19"/>
                <w:szCs w:val="19"/>
              </w:rPr>
              <w:t xml:space="preserve">"Degustación gratis en stands y carritos: cuando el niño saborea el brownie de cacao y canela delante del padre, se concreta la compra"</w:t>
            </w:r>
          </w:p>
        </w:tc>
        <w:tc>
          <w:tcPr>
            <w:tcW w:type="dxa" w:w="2977"/>
            <w:tcBorders>
              <w:top w:val="single" w:color="D9C3A8" w:sz="4"/>
              <w:left w:val="single" w:color="D9C3A8" w:sz="4"/>
              <w:bottom w:val="single" w:color="D9C3A8" w:sz="4"/>
              <w:right w:val="single" w:color="D9C3A8" w:sz="4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19"/>
                <w:szCs w:val="19"/>
              </w:rPr>
              <w:t xml:space="preserve">Buena idea, con un ajuste legal: la muestra se le entrega al padre o la madre, y él decide si su hijo prueba; al niño no se le regala nada (Ley 30021, art. 8). La degustación ya está en el plan: 1 brownie por cada 10 vendidos. Canela solo en el sabor Andi. No prometer "compra inmediata"</w:t>
            </w:r>
          </w:p>
        </w:tc>
        <w:tc>
          <w:tcPr>
            <w:tcW w:type="dxa" w:w="2333"/>
            <w:tcBorders>
              <w:top w:val="single" w:color="D9C3A8" w:sz="4"/>
              <w:left w:val="single" w:color="D9C3A8" w:sz="4"/>
              <w:bottom w:val="single" w:color="D9C3A8" w:sz="4"/>
              <w:right w:val="single" w:color="D9C3A8" w:sz="4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19"/>
                <w:szCs w:val="19"/>
              </w:rPr>
              <w:t xml:space="preserve">Documento 10, sección 4; HECHOS_v7</w:t>
            </w:r>
          </w:p>
        </w:tc>
      </w:tr>
      <w:tr>
        <w:trPr>
          <w:tblHeader w:val="false"/>
        </w:trPr>
        <w:tc>
          <w:tcPr>
            <w:tcW w:type="dxa" w:w="1073"/>
            <w:tcBorders>
              <w:top w:val="single" w:color="D9C3A8" w:sz="4"/>
              <w:left w:val="single" w:color="D9C3A8" w:sz="4"/>
              <w:bottom w:val="single" w:color="D9C3A8" w:sz="4"/>
              <w:right w:val="single" w:color="D9C3A8" w:sz="4"/>
            </w:tcBorders>
            <w:shd w:fill="F7ECD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19"/>
                <w:szCs w:val="19"/>
              </w:rPr>
              <w:t xml:space="preserve">DO2 [D1+O3+O4]</w:t>
            </w:r>
          </w:p>
        </w:tc>
        <w:tc>
          <w:tcPr>
            <w:tcW w:type="dxa" w:w="2977"/>
            <w:tcBorders>
              <w:top w:val="single" w:color="D9C3A8" w:sz="4"/>
              <w:left w:val="single" w:color="D9C3A8" w:sz="4"/>
              <w:bottom w:val="single" w:color="D9C3A8" w:sz="4"/>
              <w:right w:val="single" w:color="D9C3A8" w:sz="4"/>
            </w:tcBorders>
            <w:shd w:fill="F7ECD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19"/>
                <w:szCs w:val="19"/>
              </w:rPr>
              <w:t xml:space="preserve">"Asignando S/200 al mes a madres líderes de aula para que recomienden AndiBite con su código"</w:t>
            </w:r>
          </w:p>
        </w:tc>
        <w:tc>
          <w:tcPr>
            <w:tcW w:type="dxa" w:w="2977"/>
            <w:tcBorders>
              <w:top w:val="single" w:color="D9C3A8" w:sz="4"/>
              <w:left w:val="single" w:color="D9C3A8" w:sz="4"/>
              <w:bottom w:val="single" w:color="D9C3A8" w:sz="4"/>
              <w:right w:val="single" w:color="D9C3A8" w:sz="4"/>
            </w:tcBorders>
            <w:shd w:fill="F7ECD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19"/>
                <w:szCs w:val="19"/>
              </w:rPr>
              <w:t xml:space="preserve">El monto es correcto (S/200 al mes, S/2,400 en el año), pero no se le paga a la mamá: es el premio para el padre que recomienda (un pack de regalo o un descuento por cada familia nueva que llega con su código, unas 20 al mes), nunca para el niño. Meta: 230 familias nuevas, a S/10.43 por familia</w:t>
            </w:r>
          </w:p>
        </w:tc>
        <w:tc>
          <w:tcPr>
            <w:tcW w:type="dxa" w:w="2333"/>
            <w:tcBorders>
              <w:top w:val="single" w:color="D9C3A8" w:sz="4"/>
              <w:left w:val="single" w:color="D9C3A8" w:sz="4"/>
              <w:bottom w:val="single" w:color="D9C3A8" w:sz="4"/>
              <w:right w:val="single" w:color="D9C3A8" w:sz="4"/>
            </w:tcBorders>
            <w:shd w:fill="F7ECD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19"/>
                <w:szCs w:val="19"/>
              </w:rPr>
              <w:t xml:space="preserve">Excel v7, hoja Supuestos; T2_17</w:t>
            </w:r>
          </w:p>
        </w:tc>
      </w:tr>
      <w:tr>
        <w:trPr>
          <w:tblHeader w:val="false"/>
        </w:trPr>
        <w:tc>
          <w:tcPr>
            <w:tcW w:type="dxa" w:w="1073"/>
            <w:tcBorders>
              <w:top w:val="single" w:color="D9C3A8" w:sz="4"/>
              <w:left w:val="single" w:color="D9C3A8" w:sz="4"/>
              <w:bottom w:val="single" w:color="D9C3A8" w:sz="4"/>
              <w:right w:val="single" w:color="D9C3A8" w:sz="4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19"/>
                <w:szCs w:val="19"/>
              </w:rPr>
              <w:t xml:space="preserve">DO3 [D3+D4+O3]</w:t>
            </w:r>
          </w:p>
        </w:tc>
        <w:tc>
          <w:tcPr>
            <w:tcW w:type="dxa" w:w="2977"/>
            <w:tcBorders>
              <w:top w:val="single" w:color="D9C3A8" w:sz="4"/>
              <w:left w:val="single" w:color="D9C3A8" w:sz="4"/>
              <w:bottom w:val="single" w:color="D9C3A8" w:sz="4"/>
              <w:right w:val="single" w:color="D9C3A8" w:sz="4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19"/>
                <w:szCs w:val="19"/>
              </w:rPr>
              <w:t xml:space="preserve">"Entregas semanales programadas a domicilio en San Borja, San Miguel, Miraflores y Surco a solo S/0.50 de costo por brownie"</w:t>
            </w:r>
          </w:p>
        </w:tc>
        <w:tc>
          <w:tcPr>
            <w:tcW w:type="dxa" w:w="2977"/>
            <w:tcBorders>
              <w:top w:val="single" w:color="D9C3A8" w:sz="4"/>
              <w:left w:val="single" w:color="D9C3A8" w:sz="4"/>
              <w:bottom w:val="single" w:color="D9C3A8" w:sz="4"/>
              <w:right w:val="single" w:color="D9C3A8" w:sz="4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19"/>
                <w:szCs w:val="19"/>
              </w:rPr>
              <w:t xml:space="preserve">S/0.50 por brownie es correcto (delivery agrupado del Excel). Corregir: las entregas son 2 días por semana por zona, o recojo gratis en el stand, y el delivery es gratis desde 2 packs. Los distritos no están definidos [POR CONFIRMAR]. Cruce: el texto usa O1, que no está en los códigos, y no dice cómo ayuda con D3. Propuesta: D4+O3</w:t>
            </w:r>
          </w:p>
        </w:tc>
        <w:tc>
          <w:tcPr>
            <w:tcW w:type="dxa" w:w="2333"/>
            <w:tcBorders>
              <w:top w:val="single" w:color="D9C3A8" w:sz="4"/>
              <w:left w:val="single" w:color="D9C3A8" w:sz="4"/>
              <w:bottom w:val="single" w:color="D9C3A8" w:sz="4"/>
              <w:right w:val="single" w:color="D9C3A8" w:sz="4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19"/>
                <w:szCs w:val="19"/>
              </w:rPr>
              <w:t xml:space="preserve">Excel v7, hoja Supuestos, sección 4; HECHOS_v7</w:t>
            </w:r>
          </w:p>
        </w:tc>
      </w:tr>
      <w:tr>
        <w:trPr>
          <w:tblHeader w:val="false"/>
        </w:trPr>
        <w:tc>
          <w:tcPr>
            <w:tcW w:type="dxa" w:w="1073"/>
            <w:tcBorders>
              <w:top w:val="single" w:color="D9C3A8" w:sz="4"/>
              <w:left w:val="single" w:color="D9C3A8" w:sz="4"/>
              <w:bottom w:val="single" w:color="D9C3A8" w:sz="4"/>
              <w:right w:val="single" w:color="D9C3A8" w:sz="4"/>
            </w:tcBorders>
            <w:shd w:fill="F7ECD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19"/>
                <w:szCs w:val="19"/>
              </w:rPr>
              <w:t xml:space="preserve">DO4 [D5+O1+O3]</w:t>
            </w:r>
          </w:p>
        </w:tc>
        <w:tc>
          <w:tcPr>
            <w:tcW w:type="dxa" w:w="2977"/>
            <w:tcBorders>
              <w:top w:val="single" w:color="D9C3A8" w:sz="4"/>
              <w:left w:val="single" w:color="D9C3A8" w:sz="4"/>
              <w:bottom w:val="single" w:color="D9C3A8" w:sz="4"/>
              <w:right w:val="single" w:color="D9C3A8" w:sz="4"/>
            </w:tcBorders>
            <w:shd w:fill="F7ECD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19"/>
                <w:szCs w:val="19"/>
              </w:rPr>
              <w:t xml:space="preserve">"Acceso directo al análisis de laboratorio de su lote y el planificador semanal de loncheras con IA de Gemini"</w:t>
            </w:r>
          </w:p>
        </w:tc>
        <w:tc>
          <w:tcPr>
            <w:tcW w:type="dxa" w:w="2977"/>
            <w:tcBorders>
              <w:top w:val="single" w:color="D9C3A8" w:sz="4"/>
              <w:left w:val="single" w:color="D9C3A8" w:sz="4"/>
              <w:bottom w:val="single" w:color="D9C3A8" w:sz="4"/>
              <w:right w:val="single" w:color="D9C3A8" w:sz="4"/>
            </w:tcBorders>
            <w:shd w:fill="F7ECD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19"/>
                <w:szCs w:val="19"/>
              </w:rPr>
              <w:t xml:space="preserve">El plan de loncheras con IA (Gemini) sí está en HECHOS_v7. Precisar el laboratorio: se mide cada lote de enero a junio y cada 2 meses desde julio de 2027; desde julio la app muestra el último análisis, no siempre el del lote exacto. Cambiar "hierro real" por "hierro medido"</w:t>
            </w:r>
          </w:p>
        </w:tc>
        <w:tc>
          <w:tcPr>
            <w:tcW w:type="dxa" w:w="2333"/>
            <w:tcBorders>
              <w:top w:val="single" w:color="D9C3A8" w:sz="4"/>
              <w:left w:val="single" w:color="D9C3A8" w:sz="4"/>
              <w:bottom w:val="single" w:color="D9C3A8" w:sz="4"/>
              <w:right w:val="single" w:color="D9C3A8" w:sz="4"/>
            </w:tcBorders>
            <w:shd w:fill="F7ECD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19"/>
                <w:szCs w:val="19"/>
              </w:rPr>
              <w:t xml:space="preserve">HECHOS_v7, Producto y App</w:t>
            </w:r>
          </w:p>
        </w:tc>
      </w:tr>
      <w:tr>
        <w:trPr>
          <w:tblHeader w:val="false"/>
        </w:trPr>
        <w:tc>
          <w:tcPr>
            <w:tcW w:type="dxa" w:w="1073"/>
            <w:tcBorders>
              <w:top w:val="single" w:color="D9C3A8" w:sz="4"/>
              <w:left w:val="single" w:color="D9C3A8" w:sz="4"/>
              <w:bottom w:val="single" w:color="D9C3A8" w:sz="4"/>
              <w:right w:val="single" w:color="D9C3A8" w:sz="4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19"/>
                <w:szCs w:val="19"/>
              </w:rPr>
              <w:t xml:space="preserve">FA1 [F2+F4+A2]</w:t>
            </w:r>
          </w:p>
        </w:tc>
        <w:tc>
          <w:tcPr>
            <w:tcW w:type="dxa" w:w="2977"/>
            <w:tcBorders>
              <w:top w:val="single" w:color="D9C3A8" w:sz="4"/>
              <w:left w:val="single" w:color="D9C3A8" w:sz="4"/>
              <w:bottom w:val="single" w:color="D9C3A8" w:sz="4"/>
              <w:right w:val="single" w:color="D9C3A8" w:sz="4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19"/>
                <w:szCs w:val="19"/>
              </w:rPr>
              <w:t xml:space="preserve">"El único con 1.9 mg de hierro hemínico medido por lote que combate la anemia comprobada"</w:t>
            </w:r>
          </w:p>
        </w:tc>
        <w:tc>
          <w:tcPr>
            <w:tcW w:type="dxa" w:w="2977"/>
            <w:tcBorders>
              <w:top w:val="single" w:color="D9C3A8" w:sz="4"/>
              <w:left w:val="single" w:color="D9C3A8" w:sz="4"/>
              <w:bottom w:val="single" w:color="D9C3A8" w:sz="4"/>
              <w:right w:val="single" w:color="D9C3A8" w:sz="4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19"/>
                <w:szCs w:val="19"/>
              </w:rPr>
              <w:t xml:space="preserve">Tres problemas: 1.9 mg está [POR CONFIRMAR]; "combate la anemia" no se dice (AndiBite "contribuye"; riesgo de publicidad engañosa); y "el único con hierro" no es cierto: Nutri H declara 16.5 mg y Forticao declara hierro hemínico. Lo que nadie más hace, entre los competidores revisados, es publicar el análisis por lote. Frase: "Frente a Fika y La Purita, que no prometen hierro, AndiBite muestra el hierro medido de su lote en la app."</w:t>
            </w:r>
          </w:p>
        </w:tc>
        <w:tc>
          <w:tcPr>
            <w:tcW w:type="dxa" w:w="2333"/>
            <w:tcBorders>
              <w:top w:val="single" w:color="D9C3A8" w:sz="4"/>
              <w:left w:val="single" w:color="D9C3A8" w:sz="4"/>
              <w:bottom w:val="single" w:color="D9C3A8" w:sz="4"/>
              <w:right w:val="single" w:color="D9C3A8" w:sz="4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19"/>
                <w:szCs w:val="19"/>
              </w:rPr>
              <w:t xml:space="preserve">HECHOS_v7; nutrih.pe y forticao.pe, 19-oct-2026</w:t>
            </w:r>
          </w:p>
        </w:tc>
      </w:tr>
      <w:tr>
        <w:trPr>
          <w:tblHeader w:val="false"/>
        </w:trPr>
        <w:tc>
          <w:tcPr>
            <w:tcW w:type="dxa" w:w="1073"/>
            <w:tcBorders>
              <w:top w:val="single" w:color="D9C3A8" w:sz="4"/>
              <w:left w:val="single" w:color="D9C3A8" w:sz="4"/>
              <w:bottom w:val="single" w:color="D9C3A8" w:sz="4"/>
              <w:right w:val="single" w:color="D9C3A8" w:sz="4"/>
            </w:tcBorders>
            <w:shd w:fill="F7ECD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19"/>
                <w:szCs w:val="19"/>
              </w:rPr>
              <w:t xml:space="preserve">FA2 [F4+A1]</w:t>
            </w:r>
          </w:p>
        </w:tc>
        <w:tc>
          <w:tcPr>
            <w:tcW w:type="dxa" w:w="2977"/>
            <w:tcBorders>
              <w:top w:val="single" w:color="D9C3A8" w:sz="4"/>
              <w:left w:val="single" w:color="D9C3A8" w:sz="4"/>
              <w:bottom w:val="single" w:color="D9C3A8" w:sz="4"/>
              <w:right w:val="single" w:color="D9C3A8" w:sz="4"/>
            </w:tcBorders>
            <w:shd w:fill="F7ECD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19"/>
                <w:szCs w:val="19"/>
              </w:rPr>
              <w:t xml:space="preserve">"Excluir a Bimbo Little Bites de los colegios haciendo visible que porta 2 octógonos, mientras AndiBite tiene menos de 10 g de azúcar y es 100 % saludable"</w:t>
            </w:r>
          </w:p>
        </w:tc>
        <w:tc>
          <w:tcPr>
            <w:tcW w:type="dxa" w:w="2977"/>
            <w:tcBorders>
              <w:top w:val="single" w:color="D9C3A8" w:sz="4"/>
              <w:left w:val="single" w:color="D9C3A8" w:sz="4"/>
              <w:bottom w:val="single" w:color="D9C3A8" w:sz="4"/>
              <w:right w:val="single" w:color="D9C3A8" w:sz="4"/>
            </w:tcBorders>
            <w:shd w:fill="F7ECD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19"/>
                <w:szCs w:val="19"/>
              </w:rPr>
              <w:t xml:space="preserve">No va así: nombrar a Bimbo para sacarlo es publicidad comparativa, que en el Perú se permite solo si es verdadera, objetiva y verificable, y no denigra (D. Leg. 1044, arts. 11 y 12); "100 % saludable" no se puede probar; y "menos de 10 g" es meta [POR CONFIRMAR]. Además, los quioscos ya no pueden vender productos con octógono (lineamientos del MINSA): no hay que "excluir" a nadie. Frase: "En colegios, AndiBite entra como opción sin octógono, confirmada por laboratorio, sin nombrar a otras marcas."</w:t>
            </w:r>
          </w:p>
        </w:tc>
        <w:tc>
          <w:tcPr>
            <w:tcW w:type="dxa" w:w="2333"/>
            <w:tcBorders>
              <w:top w:val="single" w:color="D9C3A8" w:sz="4"/>
              <w:left w:val="single" w:color="D9C3A8" w:sz="4"/>
              <w:bottom w:val="single" w:color="D9C3A8" w:sz="4"/>
              <w:right w:val="single" w:color="D9C3A8" w:sz="4"/>
            </w:tcBorders>
            <w:shd w:fill="F7ECD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19"/>
                <w:szCs w:val="19"/>
              </w:rPr>
              <w:t xml:space="preserve">D. Leg. 1044; HECHOS_v7</w:t>
            </w:r>
          </w:p>
        </w:tc>
      </w:tr>
      <w:tr>
        <w:trPr>
          <w:tblHeader w:val="false"/>
        </w:trPr>
        <w:tc>
          <w:tcPr>
            <w:tcW w:type="dxa" w:w="1073"/>
            <w:tcBorders>
              <w:top w:val="single" w:color="D9C3A8" w:sz="4"/>
              <w:left w:val="single" w:color="D9C3A8" w:sz="4"/>
              <w:bottom w:val="single" w:color="D9C3A8" w:sz="4"/>
              <w:right w:val="single" w:color="D9C3A8" w:sz="4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19"/>
                <w:szCs w:val="19"/>
              </w:rPr>
              <w:t xml:space="preserve">FA3 [F1+F6+A3]</w:t>
            </w:r>
          </w:p>
        </w:tc>
        <w:tc>
          <w:tcPr>
            <w:tcW w:type="dxa" w:w="2977"/>
            <w:tcBorders>
              <w:top w:val="single" w:color="D9C3A8" w:sz="4"/>
              <w:left w:val="single" w:color="D9C3A8" w:sz="4"/>
              <w:bottom w:val="single" w:color="D9C3A8" w:sz="4"/>
              <w:right w:val="single" w:color="D9C3A8" w:sz="4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19"/>
                <w:szCs w:val="19"/>
              </w:rPr>
              <w:t xml:space="preserve">"Frente a las galletas secas y duras de Nutri H, posicionar a AndiBite como el snack suave e indulgente... postre de fiesta escolar"</w:t>
            </w:r>
          </w:p>
        </w:tc>
        <w:tc>
          <w:tcPr>
            <w:tcW w:type="dxa" w:w="2977"/>
            <w:tcBorders>
              <w:top w:val="single" w:color="D9C3A8" w:sz="4"/>
              <w:left w:val="single" w:color="D9C3A8" w:sz="4"/>
              <w:bottom w:val="single" w:color="D9C3A8" w:sz="4"/>
              <w:right w:val="single" w:color="D9C3A8" w:sz="4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19"/>
                <w:szCs w:val="19"/>
              </w:rPr>
              <w:t xml:space="preserve">Cruce correcto, pero "secas y duras" es opinión [POR CONFIRMAR con degustación] y dicho en público puede ser denigración (D. Leg. 1044, art. 11). "Postre de fiesta" choca con el territorio "Medido, no prometido" y con el uso diario en la lonchera. Frase: "Frente a la galleta funcional, AndiBite ofrece un brownie que el niño pide, en 3 sabores para la semana, sin nombrar a la competencia."</w:t>
            </w:r>
          </w:p>
        </w:tc>
        <w:tc>
          <w:tcPr>
            <w:tcW w:type="dxa" w:w="2333"/>
            <w:tcBorders>
              <w:top w:val="single" w:color="D9C3A8" w:sz="4"/>
              <w:left w:val="single" w:color="D9C3A8" w:sz="4"/>
              <w:bottom w:val="single" w:color="D9C3A8" w:sz="4"/>
              <w:right w:val="single" w:color="D9C3A8" w:sz="4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19"/>
                <w:szCs w:val="19"/>
              </w:rPr>
              <w:t xml:space="preserve">T2_10; D. Leg. 1044</w:t>
            </w:r>
          </w:p>
        </w:tc>
      </w:tr>
      <w:tr>
        <w:trPr>
          <w:tblHeader w:val="false"/>
        </w:trPr>
        <w:tc>
          <w:tcPr>
            <w:tcW w:type="dxa" w:w="1073"/>
            <w:tcBorders>
              <w:top w:val="single" w:color="D9C3A8" w:sz="4"/>
              <w:left w:val="single" w:color="D9C3A8" w:sz="4"/>
              <w:bottom w:val="single" w:color="D9C3A8" w:sz="4"/>
              <w:right w:val="single" w:color="D9C3A8" w:sz="4"/>
            </w:tcBorders>
            <w:shd w:fill="F7ECD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19"/>
                <w:szCs w:val="19"/>
              </w:rPr>
              <w:t xml:space="preserve">FA4 [F5+A4]</w:t>
            </w:r>
          </w:p>
        </w:tc>
        <w:tc>
          <w:tcPr>
            <w:tcW w:type="dxa" w:w="2977"/>
            <w:tcBorders>
              <w:top w:val="single" w:color="D9C3A8" w:sz="4"/>
              <w:left w:val="single" w:color="D9C3A8" w:sz="4"/>
              <w:bottom w:val="single" w:color="D9C3A8" w:sz="4"/>
              <w:right w:val="single" w:color="D9C3A8" w:sz="4"/>
            </w:tcBorders>
            <w:shd w:fill="F7ECD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19"/>
                <w:szCs w:val="19"/>
              </w:rPr>
              <w:t xml:space="preserve">"Mantener un costo de producción variable de S/1.64... rentabilidad desde el mes 3 y la cuota de S/898"</w:t>
            </w:r>
          </w:p>
        </w:tc>
        <w:tc>
          <w:tcPr>
            <w:tcW w:type="dxa" w:w="2977"/>
            <w:tcBorders>
              <w:top w:val="single" w:color="D9C3A8" w:sz="4"/>
              <w:left w:val="single" w:color="D9C3A8" w:sz="4"/>
              <w:bottom w:val="single" w:color="D9C3A8" w:sz="4"/>
              <w:right w:val="single" w:color="D9C3A8" w:sz="4"/>
            </w:tcBorders>
            <w:shd w:fill="F7ECD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19"/>
                <w:szCs w:val="19"/>
              </w:rPr>
              <w:t xml:space="preserve">Correcto: S/1.64 por brownie (pack de 6), resultado operativo positivo desde marzo (mes 3) y cuota de S/898. Cambiar "maquila certificada" por "maquila candidata (MAKING, Unión o INDDA) [POR CONFIRMAR]"</w:t>
            </w:r>
          </w:p>
        </w:tc>
        <w:tc>
          <w:tcPr>
            <w:tcW w:type="dxa" w:w="2333"/>
            <w:tcBorders>
              <w:top w:val="single" w:color="D9C3A8" w:sz="4"/>
              <w:left w:val="single" w:color="D9C3A8" w:sz="4"/>
              <w:bottom w:val="single" w:color="D9C3A8" w:sz="4"/>
              <w:right w:val="single" w:color="D9C3A8" w:sz="4"/>
            </w:tcBorders>
            <w:shd w:fill="F7ECD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19"/>
                <w:szCs w:val="19"/>
              </w:rPr>
              <w:t xml:space="preserve">Excel v7, hojas Costeo, Mensual e Inversion</w:t>
            </w:r>
          </w:p>
        </w:tc>
      </w:tr>
      <w:tr>
        <w:trPr>
          <w:tblHeader w:val="false"/>
        </w:trPr>
        <w:tc>
          <w:tcPr>
            <w:tcW w:type="dxa" w:w="1073"/>
            <w:tcBorders>
              <w:top w:val="single" w:color="D9C3A8" w:sz="4"/>
              <w:left w:val="single" w:color="D9C3A8" w:sz="4"/>
              <w:bottom w:val="single" w:color="D9C3A8" w:sz="4"/>
              <w:right w:val="single" w:color="D9C3A8" w:sz="4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19"/>
                <w:szCs w:val="19"/>
              </w:rPr>
              <w:t xml:space="preserve">DA1 [D4+A3]</w:t>
            </w:r>
          </w:p>
        </w:tc>
        <w:tc>
          <w:tcPr>
            <w:tcW w:type="dxa" w:w="2977"/>
            <w:tcBorders>
              <w:top w:val="single" w:color="D9C3A8" w:sz="4"/>
              <w:left w:val="single" w:color="D9C3A8" w:sz="4"/>
              <w:bottom w:val="single" w:color="D9C3A8" w:sz="4"/>
              <w:right w:val="single" w:color="D9C3A8" w:sz="4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19"/>
                <w:szCs w:val="19"/>
              </w:rPr>
              <w:t xml:space="preserve">"No asumir los altos costos de entrada a Wong o Vivanda hasta el año 2, cuando cada stand y carrito ya sea autosuficiente y la marca cuente con 2,300 contactos fidelizados"</w:t>
            </w:r>
          </w:p>
        </w:tc>
        <w:tc>
          <w:tcPr>
            <w:tcW w:type="dxa" w:w="2977"/>
            <w:tcBorders>
              <w:top w:val="single" w:color="D9C3A8" w:sz="4"/>
              <w:left w:val="single" w:color="D9C3A8" w:sz="4"/>
              <w:bottom w:val="single" w:color="D9C3A8" w:sz="4"/>
              <w:right w:val="single" w:color="D9C3A8" w:sz="4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19"/>
                <w:szCs w:val="19"/>
              </w:rPr>
              <w:t xml:space="preserve">El cruce no va: A3 es Nutri H, y aquí se habla de supermercados. Usar D4+A1 (Bimbo domina la góndola). La condición del año 2 es la regla 5 (cada punto ya gana por sí solo). Los 2,300 contactos son la meta propuesta de WhatsApp para diciembre de 2027 (documento 10, sección 6.3), no una condición para la góndola: se puede citar como "dato de apoyo", no como regla</w:t>
            </w:r>
          </w:p>
        </w:tc>
        <w:tc>
          <w:tcPr>
            <w:tcW w:type="dxa" w:w="2333"/>
            <w:tcBorders>
              <w:top w:val="single" w:color="D9C3A8" w:sz="4"/>
              <w:left w:val="single" w:color="D9C3A8" w:sz="4"/>
              <w:bottom w:val="single" w:color="D9C3A8" w:sz="4"/>
              <w:right w:val="single" w:color="D9C3A8" w:sz="4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19"/>
                <w:szCs w:val="19"/>
              </w:rPr>
              <w:t xml:space="preserve">HECHOS_v7; documento 10</w:t>
            </w:r>
          </w:p>
        </w:tc>
      </w:tr>
      <w:tr>
        <w:trPr>
          <w:tblHeader w:val="false"/>
        </w:trPr>
        <w:tc>
          <w:tcPr>
            <w:tcW w:type="dxa" w:w="1073"/>
            <w:tcBorders>
              <w:top w:val="single" w:color="D9C3A8" w:sz="4"/>
              <w:left w:val="single" w:color="D9C3A8" w:sz="4"/>
              <w:bottom w:val="single" w:color="D9C3A8" w:sz="4"/>
              <w:right w:val="single" w:color="D9C3A8" w:sz="4"/>
            </w:tcBorders>
            <w:shd w:fill="F7ECD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19"/>
                <w:szCs w:val="19"/>
              </w:rPr>
              <w:t xml:space="preserve">DA2 [D3+A4+A5]</w:t>
            </w:r>
          </w:p>
        </w:tc>
        <w:tc>
          <w:tcPr>
            <w:tcW w:type="dxa" w:w="2977"/>
            <w:tcBorders>
              <w:top w:val="single" w:color="D9C3A8" w:sz="4"/>
              <w:left w:val="single" w:color="D9C3A8" w:sz="4"/>
              <w:bottom w:val="single" w:color="D9C3A8" w:sz="4"/>
              <w:right w:val="single" w:color="D9C3A8" w:sz="4"/>
            </w:tcBorders>
            <w:shd w:fill="F7ECD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19"/>
                <w:szCs w:val="19"/>
              </w:rPr>
              <w:t xml:space="preserve">"Compensar las vacaciones escolares desplazando carritos y kits de feria a eventos infantiles, kermeses y talleres de verano para no caer bajo el umbral"</w:t>
            </w:r>
          </w:p>
        </w:tc>
        <w:tc>
          <w:tcPr>
            <w:tcW w:type="dxa" w:w="2977"/>
            <w:tcBorders>
              <w:top w:val="single" w:color="D9C3A8" w:sz="4"/>
              <w:left w:val="single" w:color="D9C3A8" w:sz="4"/>
              <w:bottom w:val="single" w:color="D9C3A8" w:sz="4"/>
              <w:right w:val="single" w:color="D9C3A8" w:sz="4"/>
            </w:tcBorders>
            <w:shd w:fill="F7ECD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19"/>
                <w:szCs w:val="19"/>
              </w:rPr>
              <w:t xml:space="preserve">Cifras correctas (2,100 a 4,400). Precisar: el plan ya acepta pérdida en enero y febrero (−S/2,539 y −S/1,513) y la cubre con el capital de trabajo de S/8,000; la caja más baja es S/2,545 en febrero. En verano el plan tiene 1 evento en enero y 2 en febrero, más la feria de campaña escolar. "Talleres de verano" no está en el plan: si se agregan, cada evento cuesta S/160 [PROPUESTA]</w:t>
            </w:r>
          </w:p>
        </w:tc>
        <w:tc>
          <w:tcPr>
            <w:tcW w:type="dxa" w:w="2333"/>
            <w:tcBorders>
              <w:top w:val="single" w:color="D9C3A8" w:sz="4"/>
              <w:left w:val="single" w:color="D9C3A8" w:sz="4"/>
              <w:bottom w:val="single" w:color="D9C3A8" w:sz="4"/>
              <w:right w:val="single" w:color="D9C3A8" w:sz="4"/>
            </w:tcBorders>
            <w:shd w:fill="F7ECD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19"/>
                <w:szCs w:val="19"/>
              </w:rPr>
              <w:t xml:space="preserve">Excel v7, hoja Mensual; HECHOS_v7</w:t>
            </w:r>
          </w:p>
        </w:tc>
      </w:tr>
      <w:tr>
        <w:trPr>
          <w:tblHeader w:val="false"/>
        </w:trPr>
        <w:tc>
          <w:tcPr>
            <w:tcW w:type="dxa" w:w="1073"/>
            <w:tcBorders>
              <w:top w:val="single" w:color="D9C3A8" w:sz="4"/>
              <w:left w:val="single" w:color="D9C3A8" w:sz="4"/>
              <w:bottom w:val="single" w:color="D9C3A8" w:sz="4"/>
              <w:right w:val="single" w:color="D9C3A8" w:sz="4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19"/>
                <w:szCs w:val="19"/>
              </w:rPr>
              <w:t xml:space="preserve">DA3 [D2+A1+A2]</w:t>
            </w:r>
          </w:p>
        </w:tc>
        <w:tc>
          <w:tcPr>
            <w:tcW w:type="dxa" w:w="2977"/>
            <w:tcBorders>
              <w:top w:val="single" w:color="D9C3A8" w:sz="4"/>
              <w:left w:val="single" w:color="D9C3A8" w:sz="4"/>
              <w:bottom w:val="single" w:color="D9C3A8" w:sz="4"/>
              <w:right w:val="single" w:color="D9C3A8" w:sz="4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19"/>
                <w:szCs w:val="19"/>
              </w:rPr>
              <w:t xml:space="preserve">"Enfocar la frase frontal en 'Sabor a brownie' y sustentar el hierro medido y la app en el reverso y material POP"</w:t>
            </w:r>
          </w:p>
        </w:tc>
        <w:tc>
          <w:tcPr>
            <w:tcW w:type="dxa" w:w="2977"/>
            <w:tcBorders>
              <w:top w:val="single" w:color="D9C3A8" w:sz="4"/>
              <w:left w:val="single" w:color="D9C3A8" w:sz="4"/>
              <w:bottom w:val="single" w:color="D9C3A8" w:sz="4"/>
              <w:right w:val="single" w:color="D9C3A8" w:sz="4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19"/>
                <w:szCs w:val="19"/>
              </w:rPr>
              <w:t xml:space="preserve">Se mantiene: está muy bien alineado con el slogan "Hierro medido. Sabor a brownie." y con el hallazgo de que la sangrecita se acepta escondida. Solo un recordatorio: la sangrecita siempre va en la lista de ingredientes del rotulado</w:t>
            </w:r>
          </w:p>
        </w:tc>
        <w:tc>
          <w:tcPr>
            <w:tcW w:type="dxa" w:w="2333"/>
            <w:tcBorders>
              <w:top w:val="single" w:color="D9C3A8" w:sz="4"/>
              <w:left w:val="single" w:color="D9C3A8" w:sz="4"/>
              <w:bottom w:val="single" w:color="D9C3A8" w:sz="4"/>
              <w:right w:val="single" w:color="D9C3A8" w:sz="4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19"/>
                <w:szCs w:val="19"/>
              </w:rPr>
              <w:t xml:space="preserve">HECHOS_v7; T2_11</w:t>
            </w:r>
          </w:p>
        </w:tc>
      </w:tr>
    </w:tbl>
    <w:p>
      <w:pPr>
        <w:spacing w:after="80"/>
      </w:pPr>
    </w:p>
    <w:p>
      <w:pPr>
        <w:pStyle w:val="Heading2"/>
      </w:pPr>
      <w:r>
        <w:t xml:space="preserve">6.6 Frases listas para pegar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Precio de AndiBite en el benchmark:</w:t>
      </w:r>
      <w:r>
        <w:t xml:space="preserve"> "Pack de 6 (120 g): S/27.90 en stand y S/26.90 por WhatsApp; S/4.65 y S/4.48 por brownie; unos S/232.50 por kg. Pack de 12 por WhatsApp: S/4.16 por brownie."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Hierro:</w:t>
      </w:r>
      <w:r>
        <w:t xml:space="preserve"> "Unos 1.9 mg de hierro hemo por brownie de 20 g, según cálculo; se confirma en laboratorio y el resultado se publica en la app [POR CONFIRMAR]."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Octógonos:</w:t>
      </w:r>
      <w:r>
        <w:t xml:space="preserve"> "Meta sin octógono, por confirmar en laboratorio: la receta reformulada da de 4.6 a 7.1 g de azúcar por 100 g, bajo el límite de 10 g."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Biodisponibilidad:</w:t>
      </w:r>
      <w:r>
        <w:t xml:space="preserve"> "Según la FAO y la OMS (2004), el hierro hemo de comidas con carne se absorbe en promedio un 25 %; el no hemo depende mucho de la comida y suele absorberse menos."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Nota de IA para el documento:</w:t>
      </w:r>
      <w:r>
        <w:t xml:space="preserve"> "Este benchmark y este FODA se armaron con AI Studio (Gemini). Revisamos cada cifra contra el modelo financiero v7 y contra las tiendas oficiales al 19-oct-2026: corregimos precios, hierro, formatos de la competencia y frases que prometían más de lo probado."</w:t>
      </w:r>
    </w:p>
    <w:p>
      <w:pPr>
        <w:pStyle w:val="Heading2"/>
      </w:pPr>
      <w:r>
        <w:t xml:space="preserve">6.7 Qué lista de competidores usar en el #2 y el #10</w:t>
      </w:r>
    </w:p>
    <w:p>
      <w:pPr>
        <w:spacing w:after="120"/>
      </w:pPr>
      <w:r>
        <w:t xml:space="preserve">El #10 usaba Nutri H, Fika, Mamalama y Bimbo Nutra Bien (más Siete Dragones como referencia). Diana usó Nutri H, Forticao, La Purita y Little Bites. Recomendación, ya aplicada en el #2 y el #10 el 19-oct-2026: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Núcleo común en el #2 y el #10:</w:t>
      </w:r>
      <w:r>
        <w:t xml:space="preserve"> Nutri H, Fika, Mamalama y Bimbo Nutra Bien. Así el benchmark y el mapa perceptual hablan de las mismas marcas.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El #2 suma 2 marcas de Diana que sí existen y aportan:</w:t>
      </w:r>
      <w:r>
        <w:t xml:space="preserve"> Forticao (el otro producto con hierro hemínico, en farmacias) y La Purita (brownie premium vegano). Little Bites queda como segunda línea de Bimbo y Siete Dragones como referencia.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En el #10:</w:t>
      </w:r>
      <w:r>
        <w:t xml:space="preserve"> agregar Forticao al mapa perceptual, porque es el segundo competidor con hierro hemo. Con los datos de hoy quedaría en precio alto (S/3.50 a S/4.17 por 20 g) y evidencia 2, porque su web no publica los mg de hierro por porción [POR CONFIRMAR con el empaque].</w:t>
      </w:r>
    </w:p>
    <w:p>
      <w:pPr>
        <w:pStyle w:val="Heading1"/>
      </w:pPr>
      <w:r>
        <w:t xml:space="preserve">Fuentes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INEI, Resolución Jefatural N.° 209-2026-INEI, índices de precios de setiembre de 2026 (El Peruano, 1-oct-2026): https://busquedas.elperuano.pe/dispositivo/NL/2559915-1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La Cámara de Comercio de Lima, inflación de Lima en setiembre de 2026 (2-oct-2026): https://lacamara.pe/?p=101312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Infomercado, decisión del BCRP del 9-oct-2026: https://infomercado.pe/bcrp-mantiene-su-tasa-en-4-25-y-sorprende-a-un-mercado-que-esperaba-un-alza/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INEI, hogares con internet de enero a marzo de 2026 (26-jun-2026): https://www.gob.pe/institucion/inei/noticias/1412359-el-62-7-de-los-hogares-del-pais-tuvo-conexion-a-internet-entre-los-meses-de-enero-y-marzo-de-2026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El Peruano, telefonía móvil en hogares de Lima, IV trimestre de 2025: https://elperuano.pe/noticia/292141-lima-metropolitana-el-984-de-hogares-conto-con-telefonia-movil-durante-cuarto-trimestre-de-2025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INEI, anemia 2025, ENDES (16-may-2026): https://www.gob.pe/institucion/inei/noticias/1392685-el-34-9-de-la-poblacion-de-6-a-35-meses-de-edad-sufrio-de-anemia-en-el-2025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D.S. 002-2024-SA, Plan Multisectorial contra la anemia 2024-2030 (El Peruano, 24-ene-2024): https://busquedas.elperuano.pe/dispositivo/NL/2255412-3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Trading Economics, precio del cacao (16-oct-2026): https://es.tradingeconomics.com/commodity/cocoa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Panamericana, comunicado ENFEN 16-2026 (16-sep-2026): https://panamericana.pe/buenosdiasperu/nacionales/474433-enfen-alerta-nino-devastador-1997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Panamericana, MIDAGRI sobre exportaciones de cacao: https://panamericana.pe/cultura/475187-midagri-peru-principales-exportadores-cacao-derivados-mundo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Agraria.pe, ferias "Perú Produce" (23-sep-2026): https://agraria.pe/noticias/visita-del-papa-leon-xiv-abrira-nuevas-oportunidades-comerci-43148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Congreso de la República, texto de la Ley 30021: https://www.congreso.gob.pe/Docs/DGP/DIDP/files/ley_30021.pdf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El Peruano, Manual de Advertencias Publicitarias, D.S. 012-2018-SA: https://busquedas.elperuano.pe/normaslegales/aprueban-manual-de-advertencias-publicitarias-en-el-marco-de-decreto-supremo-n-012-2018-sa-1660606-1/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Gestión, parámetros técnicos de los octógonos vigentes desde el 17-sep-2021: https://gestion.pe/economia/conozca-los-nuevos-parametros-para-octogonos-en-etiquetas-de-alimentos-y-bebidas-noticia/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Andina, lineamientos del MINSA para quioscos escolares, RM 195-2019 (5-mar-2019): https://andina.pe/ingles/noticia-minsa-estos-alimentos-podran-venderse-quioscos-escolares-vea-lista-744322.aspx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Garrigues, nuevo reglamento de la Ley 29733: https://www.garrigues.com/es_ES/noticia/peru-publica-nuevo-reglamento-ley-proteccion-datos-personales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LP Derecho, reglamento de la Ley 30884: https://lpderecho.pe/aprueban-reglamento-de-la-ley-30884-que-regula-el-plastico-de-un-solo-uso-y-los-recipientes-o-envases-descartables/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El Peruano, UIT 2026 de S/5,500: https://elperuano.pe/noticia/285208-mef-establece-en-s-5-500-la-unidad-impositiva-tributaria-para-2026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modelo.pe, Régimen MYPE Tributario 2026: https://modelo.pe/blog/regimen-mype-tributario-rmt-2026-tasas-limites/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Documento interno 03, maquila, regulación y permisos: </w:t>
      </w:r>
      <w:r>
        <w:rPr>
          <w:rFonts w:ascii="Consolas" w:cs="Consolas" w:eastAsia="Consolas" w:hAnsi="Consolas"/>
          <w:color w:val="4A2018"/>
          <w:sz w:val="19"/>
          <w:szCs w:val="19"/>
        </w:rPr>
        <w:t xml:space="preserve">04-reformulacion/03-maquila-regulacion-y-permisos.md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Cifras del negocio: </w:t>
      </w:r>
      <w:r>
        <w:rPr>
          <w:rFonts w:ascii="Consolas" w:cs="Consolas" w:eastAsia="Consolas" w:hAnsi="Consolas"/>
          <w:color w:val="4A2018"/>
          <w:sz w:val="19"/>
          <w:szCs w:val="19"/>
        </w:rPr>
        <w:t xml:space="preserve">04-reformulacion/T2/HECHOS_v7.md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Modelo financiero v7: </w:t>
      </w:r>
      <w:r>
        <w:rPr>
          <w:rFonts w:ascii="Consolas" w:cs="Consolas" w:eastAsia="Consolas" w:hAnsi="Consolas"/>
          <w:color w:val="4A2018"/>
          <w:sz w:val="19"/>
          <w:szCs w:val="19"/>
        </w:rPr>
        <w:t xml:space="preserve">04-reformulacion/Costeo-presentaciones-AndiBite.xlsx</w:t>
      </w:r>
      <w:r>
        <w:t xml:space="preserve"> (hojas Supuestos, Costeo, Proyeccion, Mensual e Inversion)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Capturas de Diana: </w:t>
      </w:r>
      <w:r>
        <w:rPr>
          <w:rFonts w:ascii="Consolas" w:cs="Consolas" w:eastAsia="Consolas" w:hAnsi="Consolas"/>
          <w:color w:val="4A2018"/>
          <w:sz w:val="19"/>
          <w:szCs w:val="19"/>
        </w:rPr>
        <w:t xml:space="preserve">04-reformulacion/T2/img/diana/</w:t>
      </w:r>
      <w:r>
        <w:t xml:space="preserve"> (benchmark_1, benchmark_2, foda_1, foda_2) y transcripción del FODA cruzado: </w:t>
      </w:r>
      <w:r>
        <w:rPr>
          <w:rFonts w:ascii="Consolas" w:cs="Consolas" w:eastAsia="Consolas" w:hAnsi="Consolas"/>
          <w:color w:val="4A2018"/>
          <w:sz w:val="19"/>
          <w:szCs w:val="19"/>
        </w:rPr>
        <w:t xml:space="preserve">04-reformulacion/T2/img/diana/foda_cruzado_transcripcion.md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Nutri H, Galleta Nutri H Clásica x 30 (S/48.00; consulta del 19-oct-2026): https://nutrih.pe/producto/nutri-h-clasica-x-30/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Nutri H, Galletas Nutri H Sixpack (S/10.00; consulta del 19-oct-2026): https://nutrih.pe/producto/galletas-nutri-h-sixpack/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Nutri H, Galleta vegetariana con cereales x 30 (mismo "Hierro: 16.5 mg"; consulta del 19-oct-2026): https://nutrih.pe/producto/galleta-nutri-h-vegetariana-con-cereales/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Forticao, productos (consulta del 19-oct-2026): https://forticao.pe/productos/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Forticao, tienda en línea enlazada desde forticao.pe (chocolate x 40 S/70.00, x 12 S/25.00; consulta del 19-oct-2026): https://waala16.meditech.team/shop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La Cámara de Comercio de Lima, CCL Conectados sobre Forticao y WAALA (18-jul-2025): https://lacamara.pe/?p=448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Andina, "Investigadores peruanos crean chocolate para combatir anemia" (6-jul-2016; chocolatitos de 10 g): https://andina.pe/agencia/noticia-investigadores-peruanos-crean-chocolate-para-combatir-anemia-y-reforzar-defensas-620184.aspx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La Purita, Brownies (8 Pack) (S/16.90 regular; consulta del 19-oct-2026): https://www.lapurita.com/products/brownies-x-8-unds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Plaza Vea, Brownie Bimbo Little Bites caja 130 g (S/10.90; consulta del 19-oct-2026): https://www.plazavea.com.pe/brownie-bimbo-little-bites-caja-130g/p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Plaza Vea, Mini Brownie Nutra Bien Bimbo 180 g (S/15.00, sin stock; consulta del 19-oct-2026): https://www.plazavea.com.pe/mini-brownie-nutra-bien-bimbo-180g-paquete-6un/p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Plaza Vea, Barra Nibs de Cacao y Cañihua Siete Dragones (S/18.80 regular, S/16.90 en oferta; consulta del 19-oct-2026): https://www.plazavea.com.pe/barra-nibs-de-cacao-y-canihua-siete-dragones-caja-5un/p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Wong, Barra Energética Chocolate Bitter y Maca Mamalama caja de 5 (S/20.50; consulta del 19-oct-2026): https://www.wong.pe/barra-energetica-chocolate-bitter-y-maca-mamalama-caja-5-unid/p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Wong, productos de la marca La Purita (consulta del 19-oct-2026): https://www.wong.pe/api/catalog_system/pub/products/search?ft=la%20purita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Fika, Brownie 70 g (S/14.00; consulta del 19-oct-2026): https://www.fika.pe/products/brownie-55g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FAO y OMS, Vitamin and mineral requirements in human nutrition, 2.ª ed. (2004), capítulo 13, hierro: https://www.fao.org/4/y2809e/y2809e0j.htm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Ipsos Perú, "83 % considera que los octógonos tienen impacto en sus compras" (21-feb-2025): https://www.ipsos.com/es-pe/83-considera-que-los-octogonos-tienen-impacto-en-sus-compras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D. Leg. 1044, Ley de Represión de la Competencia Desleal (texto en vLex): https://vlex.com.pe/vid/39079607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LP Derecho, Resolución 0106-2024/SDC-INDECOPI sobre denigración y comparación indebida (arts. 11 y 12 del D. Leg. 1044): https://lpderecho.pe/comercial-win-competencia-desleal-frase-ya-nos-metieron-la-ra-alude-denunciantes-resolucion-0106-2024-sdc-indecopi/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Congreso de la República, Ley 28314 (fortificación de la harina de trigo): https://www.leyes.congreso.gob.pe/Documentos/Leyes/28314.pdf</w:t>
      </w:r>
    </w:p>
    <w:sectPr>
      <w:footerReference w:type="default" r:id="rId7"/>
      <w:pgSz w:w="12240" w:h="15840" w:orient="portrait"/>
      <w:pgMar w:top="1300" w:right="1440" w:bottom="130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right"/>
    </w:pPr>
    <w:r>
      <w:rPr>
        <w:color w:val="6B3A2A"/>
        <w:sz w:val="16"/>
        <w:szCs w:val="16"/>
      </w:rPr>
      <w:t xml:space="preserve">AndiBite · Grupo 2 · T2 Plan de marketing · </w:t>
    </w:r>
    <w:r>
      <w:rPr>
        <w:color w:val="6B3A2A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–"/>
      <w:lvlJc w:val="left"/>
      <w:pPr>
        <w:ind w:left="108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1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1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1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1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1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1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1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1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1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1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2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2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  <w:num w:numId="4">
    <w:abstractNumId w:val="4"/>
    <w:lvlOverride w:ilvl="0">
      <w:startOverride w:val="1"/>
    </w:lvlOverride>
  </w:num>
  <w:num w:numId="5">
    <w:abstractNumId w:val="5"/>
    <w:lvlOverride w:ilvl="0">
      <w:startOverride w:val="1"/>
    </w:lvlOverride>
  </w:num>
  <w:num w:numId="6">
    <w:abstractNumId w:val="6"/>
    <w:lvlOverride w:ilvl="0">
      <w:startOverride w:val="1"/>
    </w:lvlOverride>
  </w:num>
  <w:num w:numId="7">
    <w:abstractNumId w:val="7"/>
    <w:lvlOverride w:ilvl="0">
      <w:startOverride w:val="1"/>
    </w:lvlOverride>
  </w:num>
  <w:num w:numId="8">
    <w:abstractNumId w:val="8"/>
    <w:lvlOverride w:ilvl="0">
      <w:startOverride w:val="1"/>
    </w:lvlOverride>
  </w:num>
  <w:num w:numId="9">
    <w:abstractNumId w:val="9"/>
    <w:lvlOverride w:ilvl="0">
      <w:startOverride w:val="1"/>
    </w:lvlOverride>
  </w:num>
  <w:num w:numId="10">
    <w:abstractNumId w:val="10"/>
    <w:lvlOverride w:ilvl="0">
      <w:startOverride w:val="1"/>
    </w:lvlOverride>
  </w:num>
  <w:num w:numId="11">
    <w:abstractNumId w:val="11"/>
    <w:lvlOverride w:ilvl="0">
      <w:startOverride w:val="1"/>
    </w:lvlOverride>
  </w:num>
  <w:num w:numId="12">
    <w:abstractNumId w:val="12"/>
    <w:lvlOverride w:ilvl="0">
      <w:startOverride w:val="1"/>
    </w:lvlOverride>
  </w:num>
  <w:num w:numId="13">
    <w:abstractNumId w:val="13"/>
    <w:lvlOverride w:ilvl="0">
      <w:startOverride w:val="1"/>
    </w:lvlOverride>
  </w:num>
  <w:num w:numId="14">
    <w:abstractNumId w:val="14"/>
    <w:lvlOverride w:ilvl="0">
      <w:startOverride w:val="1"/>
    </w:lvlOverride>
  </w:num>
  <w:num w:numId="15">
    <w:abstractNumId w:val="15"/>
    <w:lvlOverride w:ilvl="0">
      <w:startOverride w:val="1"/>
    </w:lvlOverride>
  </w:num>
  <w:num w:numId="16">
    <w:abstractNumId w:val="16"/>
    <w:lvlOverride w:ilvl="0">
      <w:startOverride w:val="1"/>
    </w:lvlOverride>
  </w:num>
  <w:num w:numId="17">
    <w:abstractNumId w:val="17"/>
    <w:lvlOverride w:ilvl="0">
      <w:startOverride w:val="1"/>
    </w:lvlOverride>
  </w:num>
  <w:num w:numId="18">
    <w:abstractNumId w:val="18"/>
    <w:lvlOverride w:ilvl="0">
      <w:startOverride w:val="1"/>
    </w:lvlOverride>
  </w:num>
  <w:num w:numId="19">
    <w:abstractNumId w:val="19"/>
    <w:lvlOverride w:ilvl="0">
      <w:startOverride w:val="1"/>
    </w:lvlOverride>
  </w:num>
  <w:num w:numId="20">
    <w:abstractNumId w:val="20"/>
    <w:lvlOverride w:ilvl="0">
      <w:startOverride w:val="1"/>
    </w:lvlOverride>
  </w:num>
  <w:num w:numId="21">
    <w:abstractNumId w:val="2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3B1A14"/>
        <w:sz w:val="22"/>
        <w:szCs w:val="22"/>
      </w:rPr>
    </w:rPrDefault>
    <w:pPrDefault>
      <w:pPr>
        <w:spacing w:line="276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300"/>
      <w:outlineLvl w:val="0"/>
    </w:pPr>
    <w:rPr>
      <w:rFonts w:ascii="Calibri" w:cs="Calibri" w:eastAsia="Calibri" w:hAnsi="Calibri"/>
      <w:b/>
      <w:bCs/>
      <w:color w:val="BA4036"/>
      <w:sz w:val="28"/>
      <w:szCs w:val="28"/>
    </w:rPr>
  </w:style>
  <w:style w:type="paragraph" w:styleId="Heading2">
    <w:name w:val="Heading 2"/>
    <w:basedOn w:val="Normal"/>
    <w:next w:val="Normal"/>
    <w:qFormat/>
    <w:pPr>
      <w:spacing w:after="100" w:before="200"/>
      <w:outlineLvl w:val="1"/>
    </w:pPr>
    <w:rPr>
      <w:rFonts w:ascii="Calibri" w:cs="Calibri" w:eastAsia="Calibri" w:hAnsi="Calibri"/>
      <w:b/>
      <w:bCs/>
      <w:color w:val="4A2018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image" Target="media/03bc85121a884bb946cbd474e69e22b29ddd6283.png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T2 · #00 Informe de avance y correcciones</dc:title>
  <dc:creator>Grupo 2</dc:creator>
  <cp:lastModifiedBy>Un-named</cp:lastModifiedBy>
  <cp:revision>1</cp:revision>
  <dcterms:created xsi:type="dcterms:W3CDTF">2026-10-19T02:15:48.823Z</dcterms:created>
  <dcterms:modified xsi:type="dcterms:W3CDTF">2026-10-19T02:15:48.824Z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