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pPr>
      <w:r>
        <w:drawing>
          <wp:inline distT="0" distB="0" distL="0" distR="0">
            <wp:extent cx="1428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485775"/>
                    </a:xfrm>
                    <a:prstGeom prst="rect">
                      <a:avLst/>
                    </a:prstGeom>
                  </pic:spPr>
                </pic:pic>
              </a:graphicData>
            </a:graphic>
          </wp:inline>
        </w:drawing>
      </w:r>
    </w:p>
    <w:p>
      <w:pPr>
        <w:pStyle w:val="Title"/>
        <w:spacing w:after="80"/>
      </w:pPr>
      <w:r>
        <w:rPr>
          <w:rFonts w:ascii="Calibri" w:cs="Calibri" w:eastAsia="Calibri" w:hAnsi="Calibri"/>
          <w:b/>
          <w:bCs/>
          <w:color w:val="4A2018"/>
          <w:sz w:val="40"/>
          <w:szCs w:val="40"/>
        </w:rPr>
        <w:t xml:space="preserve">T2 · #04 FODA y FODA cruzado</w:t>
      </w:r>
    </w:p>
    <w:p>
      <w:pPr>
        <w:pBdr>
          <w:bottom w:val="single" w:color="BA4036" w:sz="8" w:space="6"/>
        </w:pBdr>
        <w:spacing w:after="120"/>
      </w:pPr>
      <w:r>
        <w:rPr>
          <w:i/>
          <w:iCs/>
          <w:color w:val="6B3A2A"/>
          <w:sz w:val="20"/>
          <w:szCs w:val="20"/>
        </w:rPr>
        <w:t xml:space="preserve">Responsable: Diana Ayoso · Grupo 2 · AndiBite · Propuesta para revisar</w:t>
      </w:r>
    </w:p>
    <w:p>
      <w:pPr>
        <w:spacing w:after="120"/>
      </w:pPr>
      <w:r>
        <w:rPr>
          <w:b/>
          <w:bCs/>
        </w:rPr>
        <w:t xml:space="preserve">Siglas.</w:t>
      </w:r>
      <w:r>
        <w:t xml:space="preserve"> FODA: fortalezas, oportunidades, debilidades y amenazas. F y D son internas (dependen de AndiBite); O y A son externas (vienen del entorno). NSE: nivel socioeconómico. QR: código que se lee con la cámara del celular. IA: inteligencia artificial. INACAL: Instituto Nacional de Calidad. UNALM: Universidad Nacional Agraria La Molina. MINSA: Ministerio de Salud. RM: resolución ministerial. INEI: Instituto Nacional de Estadística e Informática. APEIM: Asociación Peruana de Empresas de Inteligencia de Mercados. TEA: tasa efectiva anual. SBS: Superintendencia de Banca, Seguros y AFP. ENFEN: comité que vigila el fenómeno El Niño. POP: material en el punto de venta. D. Leg.: decreto legislativo. [POR CONFIRMAR]: dato que no se pudo verificar. [HIPÓTESIS]: supuesto del plan. [PROPUESTA]: idea nueva para que el grupo decida.</w:t>
      </w:r>
    </w:p>
    <w:p>
      <w:pPr>
        <w:pStyle w:val="Heading1"/>
      </w:pPr>
      <w:r>
        <w:t xml:space="preserve">Para qué sirve este punto</w:t>
      </w:r>
    </w:p>
    <w:p>
      <w:pPr>
        <w:spacing w:after="120"/>
      </w:pPr>
      <w:r>
        <w:t xml:space="preserve">La clase llama al FODA la "brújula estratégica" del plan. El FODA dice dónde estamos; el FODA cruzado dice qué hacer con eso. Diana armó las dos partes con AI Studio (Gemini). Esta versión mantiene sus códigos y su estructura, y corrige los datos con HECHOS_v7, el modelo financiero v7 y el documento 10. Lo que no tiene fuente va como [POR CONFIRMAR]. Las oportunidades y amenazas toman datos del PESTEL de Angie (#3) y del benchmark (#2).</w:t>
      </w:r>
    </w:p>
    <w:p>
      <w:pPr>
        <w:pStyle w:val="Heading1"/>
      </w:pPr>
      <w:r>
        <w:t xml:space="preserve">1. FODA corregido</w:t>
      </w:r>
    </w:p>
    <w:p>
      <w:pPr>
        <w:pStyle w:val="Heading2"/>
      </w:pPr>
      <w:r>
        <w:t xml:space="preserve">Fortalezas (internas)</w:t>
      </w:r>
    </w:p>
    <w:p>
      <w:pPr>
        <w:pStyle w:val="ListParagraph"/>
        <w:numPr>
          <w:ilvl w:val="0"/>
          <w:numId w:val="2"/>
        </w:numPr>
        <w:spacing w:after="60"/>
      </w:pPr>
      <w:r>
        <w:rPr>
          <w:b/>
          <w:bCs/>
        </w:rPr>
        <w:t xml:space="preserve">F1. Receta que esconde la sangrecita.</w:t>
      </w:r>
      <w:r>
        <w:t xml:space="preserve"> Brownie de cacao, húmedo (fudgy). Las entrevistas y el focus 1 mostraron que la sangrecita se acepta escondida en algo dulce. El focus 2 con degustación está hecho; sus resultados están por cargar [POR CONFIRMAR].</w:t>
      </w:r>
    </w:p>
    <w:p>
      <w:pPr>
        <w:pStyle w:val="ListParagraph"/>
        <w:numPr>
          <w:ilvl w:val="0"/>
          <w:numId w:val="2"/>
        </w:numPr>
        <w:spacing w:after="60"/>
      </w:pPr>
      <w:r>
        <w:rPr>
          <w:b/>
          <w:bCs/>
        </w:rPr>
        <w:t xml:space="preserve">F2. Hierro hemo medido en laboratorio.</w:t>
      </w:r>
      <w:r>
        <w:t xml:space="preserve"> Sangrecita de res en polvo liofilizada. Se mide cada lote de enero a junio y cada 2 meses desde julio de 2027, y el resultado se publica en la app. El cálculo da unos 1.9 mg por brownie de 20 g, hecho con sangrecita cocida [POR CONFIRMAR en laboratorio]. Laboratorios candidatos, acreditados por INACAL: SAT Perú y La Molina Calidad Total (UNALM), con precio por cotización [POR CONFIRMAR]. El plan reserva S/0.12 por brownie para control de calidad.</w:t>
      </w:r>
    </w:p>
    <w:p>
      <w:pPr>
        <w:pStyle w:val="ListParagraph"/>
        <w:numPr>
          <w:ilvl w:val="0"/>
          <w:numId w:val="2"/>
        </w:numPr>
        <w:spacing w:after="60"/>
      </w:pPr>
      <w:r>
        <w:rPr>
          <w:b/>
          <w:bCs/>
        </w:rPr>
        <w:t xml:space="preserve">F3. App "Andi, Misión Hierro".</w:t>
      </w:r>
      <w:r>
        <w:t xml:space="preserve"> App web instalable que se abre con el QR de cada envase. Modo padres: hierro medido del lote, semáforo de hierro semanal, plan de loncheras con IA (Gemini), recordatorio del control de hemoglobina, recompra en 1 clic por WhatsApp con aviso cuando se acaba el pack y "dónde estamos este fin de semana". Modo niños: 4 juegos con la llamita Andi, con candado del padre y sin compras, publicidad ni premios (Ley 30021, art. 8).</w:t>
      </w:r>
    </w:p>
    <w:p>
      <w:pPr>
        <w:pStyle w:val="ListParagraph"/>
        <w:numPr>
          <w:ilvl w:val="0"/>
          <w:numId w:val="2"/>
        </w:numPr>
        <w:spacing w:after="60"/>
      </w:pPr>
      <w:r>
        <w:rPr>
          <w:b/>
          <w:bCs/>
        </w:rPr>
        <w:t xml:space="preserve">F4. Meta sin octógono.</w:t>
      </w:r>
      <w:r>
        <w:t xml:space="preserve"> La receta reformulada con eritritol da de 4.6 a 7.1 g de azúcar por 100 g según la T1, bajo el límite de 10 g [POR CONFIRMAR en laboratorio]. Si se confirma, permite vender en quioscos escolares.</w:t>
      </w:r>
    </w:p>
    <w:p>
      <w:pPr>
        <w:pStyle w:val="ListParagraph"/>
        <w:numPr>
          <w:ilvl w:val="0"/>
          <w:numId w:val="2"/>
        </w:numPr>
        <w:spacing w:after="60"/>
      </w:pPr>
      <w:r>
        <w:rPr>
          <w:b/>
          <w:bCs/>
        </w:rPr>
        <w:t xml:space="preserve">F5. Maquila sin planta propia.</w:t>
      </w:r>
      <w:r>
        <w:t xml:space="preserve"> La planta hidrata la sangrecita, hornea y empaca a S/0.45 por brownie. Candidatas: MAKING, Panificadora Unión e INDDA-UNALM [POR CONFIRMAR]. Costo de producción: S/1.64 por brownie en el pack de 6 (S/1.54 a S/1.72 según la presentación). Margen bruto en el stand: 58 a 66 %.</w:t>
      </w:r>
    </w:p>
    <w:p>
      <w:pPr>
        <w:pStyle w:val="ListParagraph"/>
        <w:numPr>
          <w:ilvl w:val="0"/>
          <w:numId w:val="2"/>
        </w:numPr>
        <w:spacing w:after="60"/>
      </w:pPr>
      <w:r>
        <w:rPr>
          <w:b/>
          <w:bCs/>
        </w:rPr>
        <w:t xml:space="preserve">F6. 3 sabores y 4 formatos.</w:t>
      </w:r>
      <w:r>
        <w:t xml:space="preserve"> Chispa, Andi (con cañihua) y Lúcu (con lúcuma). Unidad S/6.00 en stand; caja de 3 sabores S/16.50 (S/12.00 por WhatsApp); pack de 6 S/27.90 (S/26.90 por WhatsApp); pack de 12 "Semana completa" S/51.90 (S/49.90 por WhatsApp). En el quiosco el alumno paga S/4.00 y AndiBite recibe S/3.20.</w:t>
      </w:r>
    </w:p>
    <w:p>
      <w:pPr>
        <w:pStyle w:val="ListParagraph"/>
        <w:numPr>
          <w:ilvl w:val="0"/>
          <w:numId w:val="2"/>
        </w:numPr>
        <w:spacing w:after="60"/>
      </w:pPr>
      <w:r>
        <w:rPr>
          <w:b/>
          <w:bCs/>
        </w:rPr>
        <w:t xml:space="preserve">F7. Recompra por WhatsApp</w:t>
      </w:r>
      <w:r>
        <w:t xml:space="preserve"> [línea nueva, antes en O3]. El plan supone que el 35 % de lo vendido en físico vuelve por WhatsApp el mes siguiente [HIPÓTESIS], con entregas agrupadas 2 días por semana por zona o recojo en el stand, gratis desde 2 packs. Sin suscripción.</w:t>
      </w:r>
    </w:p>
    <w:p>
      <w:pPr>
        <w:pStyle w:val="Heading2"/>
      </w:pPr>
      <w:r>
        <w:t xml:space="preserve">Debilidades (internas)</w:t>
      </w:r>
    </w:p>
    <w:p>
      <w:pPr>
        <w:pStyle w:val="ListParagraph"/>
        <w:numPr>
          <w:ilvl w:val="0"/>
          <w:numId w:val="2"/>
        </w:numPr>
        <w:spacing w:after="60"/>
      </w:pPr>
      <w:r>
        <w:rPr>
          <w:b/>
          <w:bCs/>
        </w:rPr>
        <w:t xml:space="preserve">D1. Presupuesto de marketing chico.</w:t>
      </w:r>
      <w:r>
        <w:t xml:space="preserve"> S/24,544 para 15 meses (octubre de 2026 a diciembre de 2027), unos S/0.44 por brownie. Cada mes hay S/900: S/700 de pauta, degustación y material, y S/200 de embajadoras. La pauta en Meta suma S/5,050 en el año (unos S/421 al mes). Sin publicidad en medios masivos.</w:t>
      </w:r>
    </w:p>
    <w:p>
      <w:pPr>
        <w:pStyle w:val="ListParagraph"/>
        <w:numPr>
          <w:ilvl w:val="0"/>
          <w:numId w:val="2"/>
        </w:numPr>
        <w:spacing w:after="60"/>
      </w:pPr>
      <w:r>
        <w:rPr>
          <w:b/>
          <w:bCs/>
        </w:rPr>
        <w:t xml:space="preserve">D2. Prejuicio hacia la sangrecita.</w:t>
      </w:r>
      <w:r>
        <w:t xml:space="preserve"> Algunos padres la asocian con un sabor metálico o con comida que el niño rechaza. Por eso "sin la prueba del niño no hay compra" (entrevistas). Cuánto pesa en A y en B lo dirá el focus 2 [POR CONFIRMAR].</w:t>
      </w:r>
    </w:p>
    <w:p>
      <w:pPr>
        <w:pStyle w:val="ListParagraph"/>
        <w:numPr>
          <w:ilvl w:val="0"/>
          <w:numId w:val="2"/>
        </w:numPr>
        <w:spacing w:after="60"/>
      </w:pPr>
      <w:r>
        <w:rPr>
          <w:b/>
          <w:bCs/>
        </w:rPr>
        <w:t xml:space="preserve">D3. Dependencia de los stands.</w:t>
      </w:r>
      <w:r>
        <w:t xml:space="preserve"> Los stands y carritos son el 49.9 % de las ventas con IGV del año 1 (S/122,034 de S/244,728) y el 43 % de los brownies. Cada punto cuesta S/600 al mes más el vendedor o la vendedora a S/90 por día, y necesita 65 brownies por día para no perder.</w:t>
      </w:r>
    </w:p>
    <w:p>
      <w:pPr>
        <w:pStyle w:val="ListParagraph"/>
        <w:numPr>
          <w:ilvl w:val="0"/>
          <w:numId w:val="2"/>
        </w:numPr>
        <w:spacing w:after="60"/>
      </w:pPr>
      <w:r>
        <w:rPr>
          <w:b/>
          <w:bCs/>
        </w:rPr>
        <w:t xml:space="preserve">D4. Sin góndola de supermercado en el año 1.</w:t>
      </w:r>
      <w:r>
        <w:t xml:space="preserve"> La góndola en Wong o Vivanda solo se evalúa en el año 2 si cada punto ya gana por sí solo (regla para crecer 5). El documento 05 estima la comisión del supermercado en 35 % más 5 % de aportes y merma [HIPÓTESIS].</w:t>
      </w:r>
    </w:p>
    <w:p>
      <w:pPr>
        <w:pStyle w:val="ListParagraph"/>
        <w:numPr>
          <w:ilvl w:val="0"/>
          <w:numId w:val="2"/>
        </w:numPr>
        <w:spacing w:after="60"/>
      </w:pPr>
      <w:r>
        <w:rPr>
          <w:b/>
          <w:bCs/>
        </w:rPr>
        <w:t xml:space="preserve">D5. El escaneo del QR hay que enseñarlo.</w:t>
      </w:r>
      <w:r>
        <w:t xml:space="preserve"> La meta es que se escanee el 30 % de los envases en el año 1. Sin escaneo, el padre no ve el hierro del lote ni recibe el aviso de recompra.</w:t>
      </w:r>
    </w:p>
    <w:p>
      <w:pPr>
        <w:pStyle w:val="ListParagraph"/>
        <w:numPr>
          <w:ilvl w:val="0"/>
          <w:numId w:val="2"/>
        </w:numPr>
        <w:spacing w:after="60"/>
      </w:pPr>
      <w:r>
        <w:rPr>
          <w:b/>
          <w:bCs/>
        </w:rPr>
        <w:t xml:space="preserve">D6. Punto de equilibrio exigente</w:t>
      </w:r>
      <w:r>
        <w:t xml:space="preserve"> [línea nueva, antes en A4]. Hay que vender unos 2,100 brownies al mes con 1 punto, 3,100 a 3,500 con 2 y 4,200 a 4,400 con 3 para no perder. Enero y febrero de 2027 dan pérdida (−S/2,539 y −S/1,513) y la caja más baja es S/2,545 en febrero.</w:t>
      </w:r>
    </w:p>
    <w:p>
      <w:pPr>
        <w:pStyle w:val="Heading2"/>
      </w:pPr>
      <w:r>
        <w:t xml:space="preserve">Oportunidades (externas)</w:t>
      </w:r>
    </w:p>
    <w:p>
      <w:pPr>
        <w:pStyle w:val="ListParagraph"/>
        <w:numPr>
          <w:ilvl w:val="0"/>
          <w:numId w:val="2"/>
        </w:numPr>
        <w:spacing w:after="60"/>
      </w:pPr>
      <w:r>
        <w:rPr>
          <w:b/>
          <w:bCs/>
        </w:rPr>
        <w:t xml:space="preserve">O1. Núcleo de 46,000 hogares A/B</w:t>
      </w:r>
      <w:r>
        <w:t xml:space="preserve"> con niños de 4 a 11 en Lima Top y Lima Moderna (S/17.3 millones al año). El hogar A gasta S/1,709 al mes en educación y salud y el B, S/998 (APEIM 2025). El 83 % dice que los octógonos influyen en sus compras (Ipsos, 21-feb-2025) y el 42 % desconfía de lo envasado "saludable" (Kantar 2025).</w:t>
      </w:r>
    </w:p>
    <w:p>
      <w:pPr>
        <w:pStyle w:val="ListParagraph"/>
        <w:numPr>
          <w:ilvl w:val="0"/>
          <w:numId w:val="2"/>
        </w:numPr>
        <w:spacing w:after="60"/>
      </w:pPr>
      <w:r>
        <w:rPr>
          <w:b/>
          <w:bCs/>
        </w:rPr>
        <w:t xml:space="preserve">O2. Quioscos escolares que solo aceptan productos sin octógonos</w:t>
      </w:r>
      <w:r>
        <w:t xml:space="preserve"> (lineamientos del MINSA, RM 195-2019/MINSA, en el marco de la Ley 30021). Hay espacio en colegios de pensión alta de Lima Top y en cadenas de pensión media como Innova Schools. "Demanda insatisfecha" no tiene dato [POR CONFIRMAR].</w:t>
      </w:r>
    </w:p>
    <w:p>
      <w:pPr>
        <w:pStyle w:val="ListParagraph"/>
        <w:numPr>
          <w:ilvl w:val="0"/>
          <w:numId w:val="2"/>
        </w:numPr>
        <w:spacing w:after="60"/>
      </w:pPr>
      <w:r>
        <w:rPr>
          <w:b/>
          <w:bCs/>
        </w:rPr>
        <w:t xml:space="preserve">O3. Uso masivo del celular y de internet en Lima</w:t>
      </w:r>
      <w:r>
        <w:t xml:space="preserve"> [línea reescrita]. El 82.7 % de los hogares de Lima Metropolitana tiene internet y el 91.5 % de quienes lo usan se conecta por celular (INEI, 26-jun-2026). Facilita la recompra por WhatsApp, los chats de padres del salón y el escaneo del QR.</w:t>
      </w:r>
    </w:p>
    <w:p>
      <w:pPr>
        <w:pStyle w:val="ListParagraph"/>
        <w:numPr>
          <w:ilvl w:val="0"/>
          <w:numId w:val="2"/>
        </w:numPr>
        <w:spacing w:after="60"/>
      </w:pPr>
      <w:r>
        <w:rPr>
          <w:b/>
          <w:bCs/>
        </w:rPr>
        <w:t xml:space="preserve">O4. Recomendación de terceros.</w:t>
      </w:r>
      <w:r>
        <w:t xml:space="preserve"> El Consejero (25 % del volumen): el concesionario del quiosco, la nutricionista o el pediatra que recomienda con el informe del laboratorio en la mano. Además, los chats de WhatsApp del salón, donde recomiendan las mamás embajadoras.</w:t>
      </w:r>
    </w:p>
    <w:p>
      <w:pPr>
        <w:pStyle w:val="ListParagraph"/>
        <w:numPr>
          <w:ilvl w:val="0"/>
          <w:numId w:val="2"/>
        </w:numPr>
        <w:spacing w:after="60"/>
      </w:pPr>
      <w:r>
        <w:rPr>
          <w:b/>
          <w:bCs/>
        </w:rPr>
        <w:t xml:space="preserve">O5. Fechas y eventos de 2027.</w:t>
      </w:r>
      <w:r>
        <w:t xml:space="preserve"> Campaña escolar (febrero), Día del Niño Peruano (domingo 11 de abril), Día de la Madre (9 de mayo), Día del Padre (20 de junio), Día del Niño de agosto (15 de agosto, fecha comercial de los malls), kermeses y cumpleaños.</w:t>
      </w:r>
    </w:p>
    <w:p>
      <w:pPr>
        <w:pStyle w:val="Heading2"/>
      </w:pPr>
      <w:r>
        <w:t xml:space="preserve">Amenazas (externas)</w:t>
      </w:r>
    </w:p>
    <w:p>
      <w:pPr>
        <w:pStyle w:val="ListParagraph"/>
        <w:numPr>
          <w:ilvl w:val="0"/>
          <w:numId w:val="2"/>
        </w:numPr>
        <w:spacing w:after="60"/>
      </w:pPr>
      <w:r>
        <w:rPr>
          <w:b/>
          <w:bCs/>
        </w:rPr>
        <w:t xml:space="preserve">A1. Bimbo, el masivo de los supermercados.</w:t>
      </w:r>
      <w:r>
        <w:t xml:space="preserve"> Nutra Bien a S/1.67 y Little Bites a S/1.68 por 20 g (Plaza Vea, 19-oct-2026). Little Bites lleva 2 octógonos ("Alto en grasas saturadas" y "Alto en azúcar") y Nutra Bien, 1 ("Alto en azúcar"). Presencia en bodegas y quioscos [POR CONFIRMAR].</w:t>
      </w:r>
    </w:p>
    <w:p>
      <w:pPr>
        <w:pStyle w:val="ListParagraph"/>
        <w:numPr>
          <w:ilvl w:val="0"/>
          <w:numId w:val="2"/>
        </w:numPr>
        <w:spacing w:after="60"/>
      </w:pPr>
      <w:r>
        <w:rPr>
          <w:b/>
          <w:bCs/>
        </w:rPr>
        <w:t xml:space="preserve">A2. Repostería saludable premium.</w:t>
      </w:r>
      <w:r>
        <w:t xml:space="preserve"> Fika (brownie de 70 g a S/14.00, "libre de azúcar", web propia) y La Purita (brownies veganos x 8 a S/16.90, congelados, web propia; la marca vende otros productos en Wong y Plaza Vea). No prometen hierro. Presencia en Flora &amp; Fauna [POR CONFIRMAR].</w:t>
      </w:r>
    </w:p>
    <w:p>
      <w:pPr>
        <w:pStyle w:val="ListParagraph"/>
        <w:numPr>
          <w:ilvl w:val="0"/>
          <w:numId w:val="2"/>
        </w:numPr>
        <w:spacing w:after="60"/>
      </w:pPr>
      <w:r>
        <w:rPr>
          <w:b/>
          <w:bCs/>
        </w:rPr>
        <w:t xml:space="preserve">A3. Competidores con hierro hemo y mensaje antianemia.</w:t>
      </w:r>
      <w:r>
        <w:t xml:space="preserve"> Nutri H (galleta con hemoglobina bovina, caja de 30 a S/48.00, S/3.20 por 20 g, declara 16.5 mg de hierro sin decir la porción) y Forticao (chocolate con hierro hemínico, x 40 a S/70.00). "Alta recordación en televisión" y "textura seca" no tienen fuente [POR CONFIRMAR].</w:t>
      </w:r>
    </w:p>
    <w:p>
      <w:pPr>
        <w:pStyle w:val="ListParagraph"/>
        <w:numPr>
          <w:ilvl w:val="0"/>
          <w:numId w:val="2"/>
        </w:numPr>
        <w:spacing w:after="60"/>
      </w:pPr>
      <w:r>
        <w:rPr>
          <w:b/>
          <w:bCs/>
        </w:rPr>
        <w:t xml:space="preserve">A4. Crédito caro para una microempresa nueva</w:t>
      </w:r>
      <w:r>
        <w:t xml:space="preserve"> [línea reescrita]. El préstamo de S/16,000 se paga en 24 cuotas de S/898 con una TEA de 35 % [POR CONFIRMAR en la SBS]. La cuota sale de la caja aunque el mes venda poco.</w:t>
      </w:r>
    </w:p>
    <w:p>
      <w:pPr>
        <w:pStyle w:val="ListParagraph"/>
        <w:numPr>
          <w:ilvl w:val="0"/>
          <w:numId w:val="2"/>
        </w:numPr>
        <w:spacing w:after="60"/>
      </w:pPr>
      <w:r>
        <w:rPr>
          <w:b/>
          <w:bCs/>
        </w:rPr>
        <w:t xml:space="preserve">A5. Vacaciones escolares.</w:t>
      </w:r>
      <w:r>
        <w:t xml:space="preserve"> El año escolar va de marzo a mediados de diciembre. En enero se venden solo 870 brownies y los quioscos empiezan en marzo.</w:t>
      </w:r>
    </w:p>
    <w:p>
      <w:pPr>
        <w:pStyle w:val="ListParagraph"/>
        <w:numPr>
          <w:ilvl w:val="0"/>
          <w:numId w:val="2"/>
        </w:numPr>
        <w:spacing w:after="60"/>
      </w:pPr>
      <w:r>
        <w:rPr>
          <w:b/>
          <w:bCs/>
        </w:rPr>
        <w:t xml:space="preserve">A6. Cacao y clima</w:t>
      </w:r>
      <w:r>
        <w:t xml:space="preserve"> [línea nueva, del PESTEL]. El cacao cotizó a US$5,645 por tonelada el 16-oct-2026, después de pasar los US$13,000 a fines de 2024 (Trading Economics). El ENFEN anunció un Niño costero para 2026-2027 [POR CONFIRMAR en el comunicado oficial].</w:t>
      </w:r>
    </w:p>
    <w:p>
      <w:pPr>
        <w:pStyle w:val="Heading1"/>
      </w:pPr>
      <w:r>
        <w:t xml:space="preserve">2. FODA cruzado corregido</w:t>
      </w:r>
    </w:p>
    <w:p>
      <w:pPr>
        <w:spacing w:after="120"/>
      </w:pPr>
      <w:r>
        <w:t xml:space="preserve">Se mantienen los 15 códigos de Diana. Cada estrategia se apoya en acciones ya decididas en el plan; ninguna cambia el presupuesto de S/24,544 ni los S/900 al mes.</w:t>
      </w:r>
    </w:p>
    <w:p>
      <w:pPr>
        <w:pStyle w:val="Heading2"/>
      </w:pPr>
      <w:r>
        <w:t xml:space="preserve">FO: usar fortalezas para aprovechar oportunidades ("Explotar")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3"/>
        <w:gridCol w:w="1035"/>
        <w:gridCol w:w="3651"/>
        <w:gridCol w:w="3651"/>
      </w:tblGrid>
      <w:tr>
        <w:trPr>
          <w:tblHeader/>
        </w:trPr>
        <w:tc>
          <w:tcPr>
            <w:tcW w:type="dxa" w:w="1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Código</w:t>
            </w:r>
          </w:p>
        </w:tc>
        <w:tc>
          <w:tcPr>
            <w:tcW w:type="dxa" w:w="103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Cruce</w:t>
            </w:r>
          </w:p>
        </w:tc>
        <w:tc>
          <w:tcPr>
            <w:tcW w:type="dxa" w:w="36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Estrategia</w:t>
            </w:r>
          </w:p>
        </w:tc>
        <w:tc>
          <w:tcPr>
            <w:tcW w:type="dxa" w:w="36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Acción ya decidida en el plan</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FO1</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F4 + F6 + O2</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Entrar a quioscos de colegios con un producto sin octógono.</w:t>
            </w:r>
            <w:r>
              <w:rPr>
                <w:sz w:val="19"/>
                <w:szCs w:val="19"/>
              </w:rPr>
              <w:t xml:space="preserve"> Cuando el laboratorio confirme la meta sin octógono, ofrecer la unidad de 20 g en 3 sabores (el alumno paga S/4.00; AndiBite recibe S/3.20) a colegios de pensión alta de Lima Top y a cadenas de pensión media como Innova Schools [POR CONFIRMAR el contacto]</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Quioscos desde marzo; meta de 5 colegios (2 A y 3 B)</w:t>
            </w:r>
          </w:p>
        </w:tc>
      </w:tr>
      <w:tr>
        <w:trPr>
          <w:tblHeader w:val="false"/>
        </w:trPr>
        <w:tc>
          <w:tcPr>
            <w:tcW w:type="dxa" w:w="1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FO2</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F2 + F3 + O1 + O4</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"Hierro medido. Sabor a brownie." con pediatras y nutricionistas.</w:t>
            </w:r>
            <w:r>
              <w:rPr>
                <w:sz w:val="19"/>
                <w:szCs w:val="19"/>
              </w:rPr>
              <w:t xml:space="preserve"> Llevar a El Consejero muestras, el informe del laboratorio del lote cuando exista y la app "Andi, Misión Hierro", para llegar a madres del segmento A como Claudia, que leen etiquetas. Sin hablar de "certificación": los 1.9 mg están por confirmar</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10 kits de 5 para profesionales en enero; El Consejero recibe muestras e informe, no pauta</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FO3</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F3 + F6 + F7 + O3</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Recompra por WhatsApp con aviso de la app.</w:t>
            </w:r>
            <w:r>
              <w:rPr>
                <w:sz w:val="19"/>
                <w:szCs w:val="19"/>
              </w:rPr>
              <w:t xml:space="preserve"> La app avisa cuando el pack de 6 o de 12 se está acabando y el padre pide en 1 clic. Meta: que vuelva por WhatsApp el 35 % de lo vendido en físico, el mes siguiente. Sin suscripción</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WhatsApp para recompra, entregas 2 días por semana o recojo en el stand; aviso de la app</w:t>
            </w:r>
          </w:p>
        </w:tc>
      </w:tr>
      <w:tr>
        <w:trPr>
          <w:tblHeader w:val="false"/>
        </w:trPr>
        <w:tc>
          <w:tcPr>
            <w:tcW w:type="dxa" w:w="1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FO4</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F1 + F6 + O5</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Venta cara a cara en las fechas clave.</w:t>
            </w:r>
            <w:r>
              <w:rPr>
                <w:sz w:val="19"/>
                <w:szCs w:val="19"/>
              </w:rPr>
              <w:t xml:space="preserve"> Usar la degustación y los 3 sabores en las 2 ferias pagadas (campaña escolar de febrero y Día del Niño Peruano, 11 de abril) y en los stands abiertos: Jockey Plaza desde enero y el punto 2 (Real Plaza Salaverry u Open Plaza Angamos [POR CONFIRMAR cuál]) desde febrero. La Rambla San Borja (o carrito en Wong o Vivanda) es el punto 3 y abre en agosto, para el Día del Niño de agosto</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2 ferias de S/2,070; stands con pieza "Vuelve vacía"; pauta de febrero "La lonchera de marzo"</w:t>
            </w:r>
          </w:p>
        </w:tc>
      </w:tr>
    </w:tbl>
    <w:p>
      <w:pPr>
        <w:spacing w:after="80"/>
      </w:pPr>
    </w:p>
    <w:p>
      <w:pPr>
        <w:pStyle w:val="Heading2"/>
      </w:pPr>
      <w:r>
        <w:t xml:space="preserve">DO: superar debilidades aprovechando oportunidades ("Superar")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6"/>
        <w:gridCol w:w="996"/>
        <w:gridCol w:w="3684"/>
        <w:gridCol w:w="3684"/>
      </w:tblGrid>
      <w:tr>
        <w:trPr>
          <w:tblHeader/>
        </w:trPr>
        <w:tc>
          <w:tcPr>
            <w:tcW w:type="dxa" w:w="9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Código</w:t>
            </w:r>
          </w:p>
        </w:tc>
        <w:tc>
          <w:tcPr>
            <w:tcW w:type="dxa" w:w="9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Cruce</w:t>
            </w:r>
          </w:p>
        </w:tc>
        <w:tc>
          <w:tcPr>
            <w:tcW w:type="dxa" w:w="368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Estrategia</w:t>
            </w:r>
          </w:p>
        </w:tc>
        <w:tc>
          <w:tcPr>
            <w:tcW w:type="dxa" w:w="368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Acción ya decidida en el plan</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DO1</w:t>
            </w:r>
          </w:p>
        </w:tc>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D2 + O1 + O5</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Degustación "El niño prueba y el padre decide".</w:t>
            </w:r>
            <w:r>
              <w:rPr>
                <w:sz w:val="19"/>
                <w:szCs w:val="19"/>
              </w:rPr>
              <w:t xml:space="preserve"> En stands, ferias y eventos, la muestra se le entrega al padre o la madre, y él decide si su hijo prueba. Si el niño se lo come delante de él, se rompe la barrera de la sangrecita. Al niño no se le regala nada (Ley 30021, art. 8)</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Degustación de 1 brownie por cada 10 vendidos; campaña "Vuelve vacía"</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DO2</w:t>
            </w:r>
          </w:p>
        </w:tc>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D1 + O3 + O4</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Mamás embajadoras por salón.</w:t>
            </w:r>
            <w:r>
              <w:rPr>
                <w:sz w:val="19"/>
                <w:szCs w:val="19"/>
              </w:rPr>
              <w:t xml:space="preserve"> Con S/200 al mes se premia al padre que recomienda con su código en el chat del salón: un pack de regalo o un descuento por cada familia nueva (unas 20 al mes). El premio es para el padre, nunca para el niño, y no es un pago en efectivo a la mamá</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Embajadoras S/2,400 en el año; meta de 230 familias nuevas (S/10.43 por familia)</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DO3</w:t>
            </w:r>
          </w:p>
        </w:tc>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D4 + O3</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WhatsApp con entregas agrupadas en lugar de góndola.</w:t>
            </w:r>
            <w:r>
              <w:rPr>
                <w:sz w:val="19"/>
                <w:szCs w:val="19"/>
              </w:rPr>
              <w:t xml:space="preserve"> Mientras no haya góndola, la recompra llega por WhatsApp con entregas 2 días por semana por zona (unos S/0.50 por brownie) o recojo gratis en el stand; el delivery es gratis desde 2 packs. Las zonas exactas se definen con los pedidos [POR CONFIRMAR los distritos]</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Delivery agrupado del Excel v7; coordinadora a medio tiempo que atiende WhatsApp</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DO4</w:t>
            </w:r>
          </w:p>
        </w:tc>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D5 + O1 + O3</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"Escanea tu lote y conoce el hierro medido".</w:t>
            </w:r>
            <w:r>
              <w:rPr>
                <w:sz w:val="19"/>
                <w:szCs w:val="19"/>
              </w:rPr>
              <w:t xml:space="preserve"> El vendedor escanea el QR con el padre en el stand. La app muestra el análisis del laboratorio (de cada lote de enero a junio y el último análisis bimestral desde julio) y el plan de loncheras con IA (Gemini)</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Meta de 30 % de envases escaneados; QR en cada envase (S/0.04 por código)</w:t>
            </w:r>
          </w:p>
        </w:tc>
      </w:tr>
    </w:tbl>
    <w:p>
      <w:pPr>
        <w:spacing w:after="80"/>
      </w:pPr>
    </w:p>
    <w:p>
      <w:pPr>
        <w:pStyle w:val="Heading2"/>
      </w:pPr>
      <w:r>
        <w:t xml:space="preserve">FA: usar fortalezas para defenderse de amenazas ("Proteger")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6"/>
        <w:gridCol w:w="996"/>
        <w:gridCol w:w="3684"/>
        <w:gridCol w:w="3684"/>
      </w:tblGrid>
      <w:tr>
        <w:trPr>
          <w:tblHeader/>
        </w:trPr>
        <w:tc>
          <w:tcPr>
            <w:tcW w:type="dxa" w:w="9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Código</w:t>
            </w:r>
          </w:p>
        </w:tc>
        <w:tc>
          <w:tcPr>
            <w:tcW w:type="dxa" w:w="996"/>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Cruce</w:t>
            </w:r>
          </w:p>
        </w:tc>
        <w:tc>
          <w:tcPr>
            <w:tcW w:type="dxa" w:w="368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Estrategia</w:t>
            </w:r>
          </w:p>
        </w:tc>
        <w:tc>
          <w:tcPr>
            <w:tcW w:type="dxa" w:w="3684"/>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Acción ya decidida en el plan</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FA1</w:t>
            </w:r>
          </w:p>
        </w:tc>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F2 + F4 + A2</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Diferenciarse de la repostería saludable con el dato del lote.</w:t>
            </w:r>
            <w:r>
              <w:rPr>
                <w:sz w:val="19"/>
                <w:szCs w:val="19"/>
              </w:rPr>
              <w:t xml:space="preserve"> Frente a Fika y La Purita, que no prometen hierro, AndiBite muestra en la app el hierro medido de su lote. No decir "el único con hierro" (Nutri H y Forticao también lo declaran) ni "combate la anemia": AndiBite "contribuye"</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Mensaje al padre A: "Él ve un brownie. Tú ves el hierro medido de su lote."</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FA2</w:t>
            </w:r>
          </w:p>
        </w:tc>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F4 + A1</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Entrar a los colegios como opción sin octógono, sin nombrar a otras marcas.</w:t>
            </w:r>
            <w:r>
              <w:rPr>
                <w:sz w:val="19"/>
                <w:szCs w:val="19"/>
              </w:rPr>
              <w:t xml:space="preserve"> Los quioscos ya no pueden vender productos con octógono (lineamientos del MINSA), así que no hace falta "excluir" a nadie. AndiBite se presenta con el informe del laboratorio. No decir "100 % saludable" ni comparar con Bimbo en público: la publicidad comparativa debe ser verdadera y verificable, y no puede denigrar (D. Leg. 1044, arts. 11 y 12)</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Quioscos desde marzo; ficha del producto y análisis del lote para el concesionario</w:t>
            </w:r>
          </w:p>
        </w:tc>
      </w:tr>
      <w:tr>
        <w:trPr>
          <w:tblHeader w:val="false"/>
        </w:trPr>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FA3</w:t>
            </w:r>
          </w:p>
        </w:tc>
        <w:tc>
          <w:tcPr>
            <w:tcW w:type="dxa" w:w="996"/>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F1 + F6 + A3</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Ganarle a la galleta funcional por formato y sabor, sin nombrarla.</w:t>
            </w:r>
            <w:r>
              <w:rPr>
                <w:sz w:val="19"/>
                <w:szCs w:val="19"/>
              </w:rPr>
              <w:t xml:space="preserve"> Frente a Nutri H y Forticao, AndiBite es un brownie de 20 g que el niño pide, en 3 sabores para la semana. Sin decir que la otra galleta es "seca" o "dura" (es opinión y puede ser denigración) y sin venderlo como "postre de fiesta": es el sólido de la lonchera de todos los días</w:t>
            </w:r>
          </w:p>
        </w:tc>
        <w:tc>
          <w:tcPr>
            <w:tcW w:type="dxa" w:w="3684"/>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Territorio "Medido, no prometido"; campaña "Vuelve vacía"</w:t>
            </w:r>
          </w:p>
        </w:tc>
      </w:tr>
      <w:tr>
        <w:trPr>
          <w:tblHeader w:val="false"/>
        </w:trPr>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FA4</w:t>
            </w:r>
          </w:p>
        </w:tc>
        <w:tc>
          <w:tcPr>
            <w:tcW w:type="dxa" w:w="996"/>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F5 + A4</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Cuidar la caja con costos variables.</w:t>
            </w:r>
            <w:r>
              <w:rPr>
                <w:sz w:val="19"/>
                <w:szCs w:val="19"/>
              </w:rPr>
              <w:t xml:space="preserve"> Mantener el costo de producción en S/1.64 por brownie (pack de 6) con la maquila candidata (MAKING, Unión o INDDA [POR CONFIRMAR]), para tener resultado positivo desde marzo (mes 3) y pagar la cuota de S/898</w:t>
            </w:r>
          </w:p>
        </w:tc>
        <w:tc>
          <w:tcPr>
            <w:tcW w:type="dxa" w:w="3684"/>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Maquila a S/0.45; regla para crecer 2: maquila a S/0.40 al pasar 5,000 brownies al mes</w:t>
            </w:r>
          </w:p>
        </w:tc>
      </w:tr>
    </w:tbl>
    <w:p>
      <w:pPr>
        <w:spacing w:after="80"/>
      </w:pPr>
    </w:p>
    <w:p>
      <w:pPr>
        <w:pStyle w:val="Heading2"/>
      </w:pPr>
      <w:r>
        <w:t xml:space="preserve">DA: reducir debilidades y evitar amenazas ("Mitigar")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3"/>
        <w:gridCol w:w="1035"/>
        <w:gridCol w:w="3651"/>
        <w:gridCol w:w="3651"/>
      </w:tblGrid>
      <w:tr>
        <w:trPr>
          <w:tblHeader/>
        </w:trPr>
        <w:tc>
          <w:tcPr>
            <w:tcW w:type="dxa" w:w="1023"/>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Código</w:t>
            </w:r>
          </w:p>
        </w:tc>
        <w:tc>
          <w:tcPr>
            <w:tcW w:type="dxa" w:w="1035"/>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Cruce</w:t>
            </w:r>
          </w:p>
        </w:tc>
        <w:tc>
          <w:tcPr>
            <w:tcW w:type="dxa" w:w="36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Estrategia</w:t>
            </w:r>
          </w:p>
        </w:tc>
        <w:tc>
          <w:tcPr>
            <w:tcW w:type="dxa" w:w="3651"/>
            <w:tcBorders>
              <w:top w:val="single" w:color="D9C3A8" w:sz="4"/>
              <w:left w:val="single" w:color="D9C3A8" w:sz="4"/>
              <w:bottom w:val="single" w:color="D9C3A8" w:sz="4"/>
              <w:right w:val="single" w:color="D9C3A8" w:sz="4"/>
            </w:tcBorders>
            <w:shd w:fill="4A2018" w:color="auto" w:val="clear"/>
            <w:tcMar>
              <w:top w:type="dxa" w:w="50"/>
              <w:left w:type="dxa" w:w="80"/>
              <w:bottom w:type="dxa" w:w="50"/>
              <w:right w:type="dxa" w:w="80"/>
            </w:tcMar>
          </w:tcPr>
          <w:p>
            <w:r>
              <w:rPr>
                <w:b/>
                <w:bCs/>
                <w:color w:val="FFFFFF"/>
                <w:sz w:val="19"/>
                <w:szCs w:val="19"/>
              </w:rPr>
              <w:t xml:space="preserve">Acción ya decidida en el plan</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DA1</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D4 + A1</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Validar en puntos propios antes de entrar a supermercados.</w:t>
            </w:r>
            <w:r>
              <w:rPr>
                <w:sz w:val="19"/>
                <w:szCs w:val="19"/>
              </w:rPr>
              <w:t xml:space="preserve"> No asumir los costos de la góndola de Wong o Vivanda, donde domina Bimbo, hasta el año 2 y solo si cada stand y carrito ya gana por sí solo. Como dato de apoyo, el plan apunta a unos 2,300 contactos de WhatsApp en diciembre de 2027 [META PROPUESTA del documento 10]</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Regla para crecer 5; carritos en Plaza Vea y en Wong o Vivanda (punto 3) en vez de góndola</w:t>
            </w:r>
          </w:p>
        </w:tc>
      </w:tr>
      <w:tr>
        <w:trPr>
          <w:tblHeader w:val="false"/>
        </w:trPr>
        <w:tc>
          <w:tcPr>
            <w:tcW w:type="dxa" w:w="1023"/>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DA2</w:t>
            </w:r>
          </w:p>
        </w:tc>
        <w:tc>
          <w:tcPr>
            <w:tcW w:type="dxa" w:w="1035"/>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D3 + D6 + A4 + A5</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b/>
                <w:bCs/>
                <w:sz w:val="19"/>
                <w:szCs w:val="19"/>
              </w:rPr>
              <w:t xml:space="preserve">Control del punto de equilibrio en los meses de vacaciones.</w:t>
            </w:r>
            <w:r>
              <w:rPr>
                <w:sz w:val="19"/>
                <w:szCs w:val="19"/>
              </w:rPr>
              <w:t xml:space="preserve"> El plan ya acepta pérdida en enero y febrero y la cubre con el capital de trabajo (S/8,000); la caja más baja es S/2,545 en febrero. En verano se usan los eventos ya previstos (1 en enero y 2 en febrero) y la feria de campaña escolar. La línea de crédito de S/3,000 se usa solo si la caja baja de S/1,000. Más eventos de verano serían una [PROPUESTA] de S/160 cada uno</w:t>
            </w:r>
          </w:p>
        </w:tc>
        <w:tc>
          <w:tcPr>
            <w:tcW w:type="dxa" w:w="3651"/>
            <w:tcBorders>
              <w:top w:val="single" w:color="D9C3A8" w:sz="4"/>
              <w:left w:val="single" w:color="D9C3A8" w:sz="4"/>
              <w:bottom w:val="single" w:color="D9C3A8" w:sz="4"/>
              <w:right w:val="single" w:color="D9C3A8" w:sz="4"/>
            </w:tcBorders>
            <w:shd w:fill="F7ECDA" w:color="auto" w:val="clear"/>
            <w:tcMar>
              <w:top w:type="dxa" w:w="50"/>
              <w:left w:type="dxa" w:w="80"/>
              <w:bottom w:type="dxa" w:w="50"/>
              <w:right w:type="dxa" w:w="80"/>
            </w:tcMar>
          </w:tcPr>
          <w:p>
            <w:r>
              <w:rPr>
                <w:sz w:val="19"/>
                <w:szCs w:val="19"/>
              </w:rPr>
              <w:t xml:space="preserve">Regla para crecer 8; calendario de 40 eventos</w:t>
            </w:r>
          </w:p>
        </w:tc>
      </w:tr>
      <w:tr>
        <w:trPr>
          <w:tblHeader w:val="false"/>
        </w:trPr>
        <w:tc>
          <w:tcPr>
            <w:tcW w:type="dxa" w:w="1023"/>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DA3</w:t>
            </w:r>
          </w:p>
        </w:tc>
        <w:tc>
          <w:tcPr>
            <w:tcW w:type="dxa" w:w="1035"/>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D2 + A1 + A2</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b/>
                <w:bCs/>
                <w:sz w:val="19"/>
                <w:szCs w:val="19"/>
              </w:rPr>
              <w:t xml:space="preserve">Mensaje de comunicación "Sabor primero, hierro que da confianza".</w:t>
            </w:r>
            <w:r>
              <w:rPr>
                <w:sz w:val="19"/>
                <w:szCs w:val="19"/>
              </w:rPr>
              <w:t xml:space="preserve"> Para evitar el rechazo inicial a la palabra sangrecita frente a marcas convencionales (D2, A1, A2), enfocar la frase frontal en "Sabor a brownie" y sustentar el hierro medido y la app en el reverso y material POP. (Se mantiene como la escribió Diana. Recordatorio: la sangrecita siempre va en la lista de ingredientes del rotulado)</w:t>
            </w:r>
          </w:p>
        </w:tc>
        <w:tc>
          <w:tcPr>
            <w:tcW w:type="dxa" w:w="3651"/>
            <w:tcBorders>
              <w:top w:val="single" w:color="D9C3A8" w:sz="4"/>
              <w:left w:val="single" w:color="D9C3A8" w:sz="4"/>
              <w:bottom w:val="single" w:color="D9C3A8" w:sz="4"/>
              <w:right w:val="single" w:color="D9C3A8" w:sz="4"/>
            </w:tcBorders>
            <w:shd w:fill="FFFFFF" w:color="auto" w:val="clear"/>
            <w:tcMar>
              <w:top w:type="dxa" w:w="50"/>
              <w:left w:type="dxa" w:w="80"/>
              <w:bottom w:type="dxa" w:w="50"/>
              <w:right w:type="dxa" w:w="80"/>
            </w:tcMar>
          </w:tcPr>
          <w:p>
            <w:r>
              <w:rPr>
                <w:sz w:val="19"/>
                <w:szCs w:val="19"/>
              </w:rPr>
              <w:t xml:space="preserve">Slogan "Hierro medido. Sabor a brownie."; campaña "Vuelve vacía"</w:t>
            </w:r>
          </w:p>
        </w:tc>
      </w:tr>
    </w:tbl>
    <w:p>
      <w:pPr>
        <w:spacing w:after="80"/>
      </w:pPr>
    </w:p>
    <w:p>
      <w:pPr>
        <w:pStyle w:val="Heading1"/>
      </w:pPr>
      <w:r>
        <w:t xml:space="preserve">3. Qué cambiamos de la versión de Diana</w:t>
      </w:r>
    </w:p>
    <w:p>
      <w:pPr>
        <w:pStyle w:val="ListParagraph"/>
        <w:numPr>
          <w:ilvl w:val="0"/>
          <w:numId w:val="2"/>
        </w:numPr>
        <w:spacing w:after="60"/>
      </w:pPr>
      <w:r>
        <w:rPr>
          <w:b/>
          <w:bCs/>
        </w:rPr>
        <w:t xml:space="preserve">Datos que la IA dio como hechos:</w:t>
      </w:r>
      <w:r>
        <w:t xml:space="preserve"> "0 octógonos", "100 % enmascarado", "certificación de 1.9 mg" y "100 % saludable" pasan a metas por confirmar o se quitan.</w:t>
      </w:r>
    </w:p>
    <w:p>
      <w:pPr>
        <w:pStyle w:val="ListParagraph"/>
        <w:numPr>
          <w:ilvl w:val="0"/>
          <w:numId w:val="2"/>
        </w:numPr>
        <w:spacing w:after="60"/>
      </w:pPr>
      <w:r>
        <w:rPr>
          <w:b/>
          <w:bCs/>
        </w:rPr>
        <w:t xml:space="preserve">Líneas internas que estaban como externas:</w:t>
      </w:r>
      <w:r>
        <w:t xml:space="preserve"> la recompra del 35 % pasa de O3 a F7 y el punto de equilibrio pasa de A4 a D6. O3 y A4 se reescriben con datos del entorno para que los cruces de Diana sigan valiendo.</w:t>
      </w:r>
    </w:p>
    <w:p>
      <w:pPr>
        <w:pStyle w:val="ListParagraph"/>
        <w:numPr>
          <w:ilvl w:val="0"/>
          <w:numId w:val="2"/>
        </w:numPr>
        <w:spacing w:after="60"/>
      </w:pPr>
      <w:r>
        <w:rPr>
          <w:b/>
          <w:bCs/>
        </w:rPr>
        <w:t xml:space="preserve">Cruces que no iban:</w:t>
      </w:r>
      <w:r>
        <w:t xml:space="preserve"> FO4 usaba F5 (maquila) para hablar de venta cara a cara; ahora es F1 + F6 + O5. DA1 usaba A3 (Nutri H) para hablar de supermercados; ahora es D4 + A1. DO3 usaba O1 sin ponerlo en el código y D3 sin explicar cómo ayudaba; ahora es D4 + O3.</w:t>
      </w:r>
    </w:p>
    <w:p>
      <w:pPr>
        <w:pStyle w:val="ListParagraph"/>
        <w:numPr>
          <w:ilvl w:val="0"/>
          <w:numId w:val="2"/>
        </w:numPr>
        <w:spacing w:after="60"/>
      </w:pPr>
      <w:r>
        <w:rPr>
          <w:b/>
          <w:bCs/>
        </w:rPr>
        <w:t xml:space="preserve">Frases que chocaban con el plan:</w:t>
      </w:r>
      <w:r>
        <w:t xml:space="preserve"> "excluir a Bimbo" y "galletas secas de Nutri H" (riesgo con el D. Leg. 1044); "combate la anemia"; "S/200 a madres líderes" (es premio para el padre); "pedido semanal" (son entregas 2 días por semana y la recompra se mide al mes); La Rambla en febrero y abril (abre en agosto).</w:t>
      </w:r>
    </w:p>
    <w:p>
      <w:pPr>
        <w:pStyle w:val="ListParagraph"/>
        <w:numPr>
          <w:ilvl w:val="0"/>
          <w:numId w:val="2"/>
        </w:numPr>
        <w:spacing w:after="60"/>
      </w:pPr>
      <w:r>
        <w:rPr>
          <w:b/>
          <w:bCs/>
        </w:rPr>
        <w:t xml:space="preserve">Lo que estaba bien y se mantiene:</w:t>
      </w:r>
      <w:r>
        <w:t xml:space="preserve"> el precio de S/3.20 a S/4.00 del quiosco, el delivery de S/0.50 por brownie, la cuota de S/898, el equilibrio de 2,100 a 4,400 brownies, el plan de loncheras con IA (Gemini), la regla de la góndola en el año 2 y la estrategia DA3 completa.</w:t>
      </w:r>
    </w:p>
    <w:p>
      <w:pPr>
        <w:pStyle w:val="Heading1"/>
      </w:pPr>
      <w:r>
        <w:t xml:space="preserve">Fuentes</w:t>
      </w:r>
    </w:p>
    <w:p>
      <w:pPr>
        <w:pStyle w:val="ListParagraph"/>
        <w:numPr>
          <w:ilvl w:val="0"/>
          <w:numId w:val="2"/>
        </w:numPr>
        <w:spacing w:after="60"/>
      </w:pPr>
      <w:r>
        <w:t xml:space="preserve">AndiBite. HECHOS_v7 (19-oct-2026): </w:t>
      </w:r>
      <w:r>
        <w:rPr>
          <w:rFonts w:ascii="Consolas" w:cs="Consolas" w:eastAsia="Consolas" w:hAnsi="Consolas"/>
          <w:color w:val="4A2018"/>
          <w:sz w:val="19"/>
          <w:szCs w:val="19"/>
        </w:rPr>
        <w:t xml:space="preserve">04-reformulacion/T2/HECHOS_v7.md</w:t>
      </w:r>
    </w:p>
    <w:p>
      <w:pPr>
        <w:pStyle w:val="ListParagraph"/>
        <w:numPr>
          <w:ilvl w:val="0"/>
          <w:numId w:val="2"/>
        </w:numPr>
        <w:spacing w:after="60"/>
      </w:pPr>
      <w:r>
        <w:t xml:space="preserve">AndiBite. Modelo financiero v7: </w:t>
      </w:r>
      <w:r>
        <w:rPr>
          <w:rFonts w:ascii="Consolas" w:cs="Consolas" w:eastAsia="Consolas" w:hAnsi="Consolas"/>
          <w:color w:val="4A2018"/>
          <w:sz w:val="19"/>
          <w:szCs w:val="19"/>
        </w:rPr>
        <w:t xml:space="preserve">04-reformulacion/Costeo-presentaciones-AndiBite.xlsx</w:t>
      </w:r>
      <w:r>
        <w:t xml:space="preserve"> (hojas Resumen, Supuestos, Costeo, Proyeccion, Mensual e Inversion)</w:t>
      </w:r>
    </w:p>
    <w:p>
      <w:pPr>
        <w:pStyle w:val="ListParagraph"/>
        <w:numPr>
          <w:ilvl w:val="0"/>
          <w:numId w:val="2"/>
        </w:numPr>
        <w:spacing w:after="60"/>
      </w:pPr>
      <w:r>
        <w:t xml:space="preserve">AndiBite. Plan de marketing 2027: </w:t>
      </w:r>
      <w:r>
        <w:rPr>
          <w:rFonts w:ascii="Consolas" w:cs="Consolas" w:eastAsia="Consolas" w:hAnsi="Consolas"/>
          <w:color w:val="4A2018"/>
          <w:sz w:val="19"/>
          <w:szCs w:val="19"/>
        </w:rPr>
        <w:t xml:space="preserve">04-reformulacion/10-plan-de-marketing-2027.md</w:t>
      </w:r>
      <w:r>
        <w:t xml:space="preserve"> (secciones 3, 4 y 6.3)</w:t>
      </w:r>
    </w:p>
    <w:p>
      <w:pPr>
        <w:pStyle w:val="ListParagraph"/>
        <w:numPr>
          <w:ilvl w:val="0"/>
          <w:numId w:val="2"/>
        </w:numPr>
        <w:spacing w:after="60"/>
      </w:pPr>
      <w:r>
        <w:t xml:space="preserve">AndiBite. Resumen del proyecto: </w:t>
      </w:r>
      <w:r>
        <w:rPr>
          <w:rFonts w:ascii="Consolas" w:cs="Consolas" w:eastAsia="Consolas" w:hAnsi="Consolas"/>
          <w:color w:val="4A2018"/>
          <w:sz w:val="19"/>
          <w:szCs w:val="19"/>
        </w:rPr>
        <w:t xml:space="preserve">04-reformulacion/00-RESUMEN-del-proyecto.md</w:t>
      </w:r>
    </w:p>
    <w:p>
      <w:pPr>
        <w:pStyle w:val="ListParagraph"/>
        <w:numPr>
          <w:ilvl w:val="0"/>
          <w:numId w:val="2"/>
        </w:numPr>
        <w:spacing w:after="60"/>
      </w:pPr>
      <w:r>
        <w:t xml:space="preserve">AndiBite. Documento 03 (maquila y laboratorios) y documento 05 (comisiones de canal): </w:t>
      </w:r>
      <w:r>
        <w:rPr>
          <w:rFonts w:ascii="Consolas" w:cs="Consolas" w:eastAsia="Consolas" w:hAnsi="Consolas"/>
          <w:color w:val="4A2018"/>
          <w:sz w:val="19"/>
          <w:szCs w:val="19"/>
        </w:rPr>
        <w:t xml:space="preserve">04-reformulacion/03-maquila-regulacion-y-permisos.md</w:t>
      </w:r>
      <w:r>
        <w:t xml:space="preserve"> y </w:t>
      </w:r>
      <w:r>
        <w:rPr>
          <w:rFonts w:ascii="Consolas" w:cs="Consolas" w:eastAsia="Consolas" w:hAnsi="Consolas"/>
          <w:color w:val="4A2018"/>
          <w:sz w:val="19"/>
          <w:szCs w:val="19"/>
        </w:rPr>
        <w:t xml:space="preserve">04-reformulacion/05-plan-comercial-y-financiero.md</w:t>
      </w:r>
    </w:p>
    <w:p>
      <w:pPr>
        <w:pStyle w:val="ListParagraph"/>
        <w:numPr>
          <w:ilvl w:val="0"/>
          <w:numId w:val="2"/>
        </w:numPr>
        <w:spacing w:after="60"/>
      </w:pPr>
      <w:r>
        <w:t xml:space="preserve">AndiBite. Temas del T2: </w:t>
      </w:r>
      <w:r>
        <w:rPr>
          <w:rFonts w:ascii="Consolas" w:cs="Consolas" w:eastAsia="Consolas" w:hAnsi="Consolas"/>
          <w:color w:val="4A2018"/>
          <w:sz w:val="19"/>
          <w:szCs w:val="19"/>
        </w:rPr>
        <w:t xml:space="preserve">T2_02_Benchmark.md</w:t>
      </w:r>
      <w:r>
        <w:t xml:space="preserve">, </w:t>
      </w:r>
      <w:r>
        <w:rPr>
          <w:rFonts w:ascii="Consolas" w:cs="Consolas" w:eastAsia="Consolas" w:hAnsi="Consolas"/>
          <w:color w:val="4A2018"/>
          <w:sz w:val="19"/>
          <w:szCs w:val="19"/>
        </w:rPr>
        <w:t xml:space="preserve">T2_05_Datos-del-mercado.md</w:t>
      </w:r>
      <w:r>
        <w:t xml:space="preserve">, </w:t>
      </w:r>
      <w:r>
        <w:rPr>
          <w:rFonts w:ascii="Consolas" w:cs="Consolas" w:eastAsia="Consolas" w:hAnsi="Consolas"/>
          <w:color w:val="4A2018"/>
          <w:sz w:val="19"/>
          <w:szCs w:val="19"/>
        </w:rPr>
        <w:t xml:space="preserve">T2_09_Segmentacion-y-buyer-persona.md</w:t>
      </w:r>
      <w:r>
        <w:t xml:space="preserve">, </w:t>
      </w:r>
      <w:r>
        <w:rPr>
          <w:rFonts w:ascii="Consolas" w:cs="Consolas" w:eastAsia="Consolas" w:hAnsi="Consolas"/>
          <w:color w:val="4A2018"/>
          <w:sz w:val="19"/>
          <w:szCs w:val="19"/>
        </w:rPr>
        <w:t xml:space="preserve">T2_10_Posicionamiento.md</w:t>
      </w:r>
      <w:r>
        <w:t xml:space="preserve">, </w:t>
      </w:r>
      <w:r>
        <w:rPr>
          <w:rFonts w:ascii="Consolas" w:cs="Consolas" w:eastAsia="Consolas" w:hAnsi="Consolas"/>
          <w:color w:val="4A2018"/>
          <w:sz w:val="19"/>
          <w:szCs w:val="19"/>
        </w:rPr>
        <w:t xml:space="preserve">T2_13_Concepto-de-campana.md</w:t>
      </w:r>
      <w:r>
        <w:t xml:space="preserve">, </w:t>
      </w:r>
      <w:r>
        <w:rPr>
          <w:rFonts w:ascii="Consolas" w:cs="Consolas" w:eastAsia="Consolas" w:hAnsi="Consolas"/>
          <w:color w:val="4A2018"/>
          <w:sz w:val="19"/>
          <w:szCs w:val="19"/>
        </w:rPr>
        <w:t xml:space="preserve">T2_16_Las-7P.md</w:t>
      </w:r>
      <w:r>
        <w:t xml:space="preserve">, </w:t>
      </w:r>
      <w:r>
        <w:rPr>
          <w:rFonts w:ascii="Consolas" w:cs="Consolas" w:eastAsia="Consolas" w:hAnsi="Consolas"/>
          <w:color w:val="4A2018"/>
          <w:sz w:val="19"/>
          <w:szCs w:val="19"/>
        </w:rPr>
        <w:t xml:space="preserve">T2_17_Presupuesto.md</w:t>
      </w:r>
      <w:r>
        <w:t xml:space="preserve"> y la revisión del PESTEL en </w:t>
      </w:r>
      <w:r>
        <w:rPr>
          <w:rFonts w:ascii="Consolas" w:cs="Consolas" w:eastAsia="Consolas" w:hAnsi="Consolas"/>
          <w:color w:val="4A2018"/>
          <w:sz w:val="19"/>
          <w:szCs w:val="19"/>
        </w:rPr>
        <w:t xml:space="preserve">T2_00_Informe-de-avance-y-correcciones.md</w:t>
      </w:r>
    </w:p>
    <w:p>
      <w:pPr>
        <w:pStyle w:val="ListParagraph"/>
        <w:numPr>
          <w:ilvl w:val="0"/>
          <w:numId w:val="2"/>
        </w:numPr>
        <w:spacing w:after="60"/>
      </w:pPr>
      <w:r>
        <w:t xml:space="preserve">Capturas originales de Diana y transcripción del FODA cruzado: </w:t>
      </w:r>
      <w:r>
        <w:rPr>
          <w:rFonts w:ascii="Consolas" w:cs="Consolas" w:eastAsia="Consolas" w:hAnsi="Consolas"/>
          <w:color w:val="4A2018"/>
          <w:sz w:val="19"/>
          <w:szCs w:val="19"/>
        </w:rPr>
        <w:t xml:space="preserve">04-reformulacion/T2/img/diana/</w:t>
      </w:r>
    </w:p>
    <w:p>
      <w:pPr>
        <w:pStyle w:val="ListParagraph"/>
        <w:numPr>
          <w:ilvl w:val="0"/>
          <w:numId w:val="2"/>
        </w:numPr>
        <w:spacing w:after="60"/>
      </w:pPr>
      <w:r>
        <w:t xml:space="preserve">APEIM. Niveles Socioeconómicos 2025 (setiembre de 2025): https://apeim.com.pe/wp-content/uploads/2025/12/Informe-completo-de-NSE-2025.pdf</w:t>
      </w:r>
    </w:p>
    <w:p>
      <w:pPr>
        <w:pStyle w:val="ListParagraph"/>
        <w:numPr>
          <w:ilvl w:val="0"/>
          <w:numId w:val="2"/>
        </w:numPr>
        <w:spacing w:after="60"/>
      </w:pPr>
      <w:r>
        <w:t xml:space="preserve">Ipsos Perú. "83 % considera que los octógonos tienen impacto en sus compras" (21-feb-2025): https://www.ipsos.com/es-pe/83-considera-que-los-octogonos-tienen-impacto-en-sus-compras</w:t>
      </w:r>
    </w:p>
    <w:p>
      <w:pPr>
        <w:pStyle w:val="ListParagraph"/>
        <w:numPr>
          <w:ilvl w:val="0"/>
          <w:numId w:val="2"/>
        </w:numPr>
        <w:spacing w:after="60"/>
      </w:pPr>
      <w:r>
        <w:t xml:space="preserve">Kantar. Consumo saludable en Perú (15-may-2025): https://www.kantar.com/latin-america/inspiracion/consumidor/2025/consumo-saludable-peru-tendencia</w:t>
      </w:r>
    </w:p>
    <w:p>
      <w:pPr>
        <w:pStyle w:val="ListParagraph"/>
        <w:numPr>
          <w:ilvl w:val="0"/>
          <w:numId w:val="2"/>
        </w:numPr>
        <w:spacing w:after="60"/>
      </w:pPr>
      <w:r>
        <w:t xml:space="preserve">INEI. Hogares con internet de enero a marzo de 2026 (26-jun-2026): https://www.gob.pe/institucion/inei/noticias/1412359-el-62-7-de-los-hogares-del-pais-tuvo-conexion-a-internet-entre-los-meses-de-enero-y-marzo-de-2026</w:t>
      </w:r>
    </w:p>
    <w:p>
      <w:pPr>
        <w:pStyle w:val="ListParagraph"/>
        <w:numPr>
          <w:ilvl w:val="0"/>
          <w:numId w:val="2"/>
        </w:numPr>
        <w:spacing w:after="60"/>
      </w:pPr>
      <w:r>
        <w:t xml:space="preserve">Andina. Lineamientos del MINSA para quioscos escolares, RM 195-2019 (5-mar-2019): https://andina.pe/ingles/noticia-minsa-estos-alimentos-podran-venderse-quioscos-escolares-vea-lista-744322.aspx</w:t>
      </w:r>
    </w:p>
    <w:p>
      <w:pPr>
        <w:pStyle w:val="ListParagraph"/>
        <w:numPr>
          <w:ilvl w:val="0"/>
          <w:numId w:val="2"/>
        </w:numPr>
        <w:spacing w:after="60"/>
      </w:pPr>
      <w:r>
        <w:t xml:space="preserve">Congreso de la República. Ley 30021: https://www.leyes.congreso.gob.pe/Documentos/Leyes/30021.pdf</w:t>
      </w:r>
    </w:p>
    <w:p>
      <w:pPr>
        <w:pStyle w:val="ListParagraph"/>
        <w:numPr>
          <w:ilvl w:val="0"/>
          <w:numId w:val="2"/>
        </w:numPr>
        <w:spacing w:after="60"/>
      </w:pPr>
      <w:r>
        <w:t xml:space="preserve">D. Leg. 1044, Ley de Represión de la Competencia Desleal (vLex): https://vlex.com.pe/vid/39079607</w:t>
      </w:r>
    </w:p>
    <w:p>
      <w:pPr>
        <w:pStyle w:val="ListParagraph"/>
        <w:numPr>
          <w:ilvl w:val="0"/>
          <w:numId w:val="2"/>
        </w:numPr>
        <w:spacing w:after="60"/>
      </w:pPr>
      <w:r>
        <w:t xml:space="preserve">LP Derecho. Resolución 0106-2024/SDC-INDECOPI (denigración y comparación indebida, arts. 11 y 12 del D. Leg. 1044): https://lpderecho.pe/comercial-win-competencia-desleal-frase-ya-nos-metieron-la-ra-alude-denunciantes-resolucion-0106-2024-sdc-indecopi/</w:t>
      </w:r>
    </w:p>
    <w:p>
      <w:pPr>
        <w:pStyle w:val="ListParagraph"/>
        <w:numPr>
          <w:ilvl w:val="0"/>
          <w:numId w:val="2"/>
        </w:numPr>
        <w:spacing w:after="60"/>
      </w:pPr>
      <w:r>
        <w:t xml:space="preserve">Plaza Vea. Little Bites 130 g y Nutra Bien 180 g (consulta del 19-oct-2026): https://www.plazavea.com.pe/brownie-bimbo-little-bites-caja-130g/p y https://www.plazavea.com.pe/mini-brownie-nutra-bien-bimbo-180g-paquete-6un/p</w:t>
      </w:r>
    </w:p>
    <w:p>
      <w:pPr>
        <w:pStyle w:val="ListParagraph"/>
        <w:numPr>
          <w:ilvl w:val="0"/>
          <w:numId w:val="2"/>
        </w:numPr>
        <w:spacing w:after="60"/>
      </w:pPr>
      <w:r>
        <w:t xml:space="preserve">Fika. Brownie 70 g (consulta del 19-oct-2026): https://www.fika.pe/products/brownie-55g</w:t>
      </w:r>
    </w:p>
    <w:p>
      <w:pPr>
        <w:pStyle w:val="ListParagraph"/>
        <w:numPr>
          <w:ilvl w:val="0"/>
          <w:numId w:val="2"/>
        </w:numPr>
        <w:spacing w:after="60"/>
      </w:pPr>
      <w:r>
        <w:t xml:space="preserve">La Purita. Brownies (8 Pack) (consulta del 19-oct-2026): https://www.lapurita.com/products/brownies-x-8-unds</w:t>
      </w:r>
    </w:p>
    <w:p>
      <w:pPr>
        <w:pStyle w:val="ListParagraph"/>
        <w:numPr>
          <w:ilvl w:val="0"/>
          <w:numId w:val="2"/>
        </w:numPr>
        <w:spacing w:after="60"/>
      </w:pPr>
      <w:r>
        <w:t xml:space="preserve">Nutri H. Galleta Nutri H Clásica x 30 (consulta del 19-oct-2026): https://nutrih.pe/producto/nutri-h-clasica-x-30/</w:t>
      </w:r>
    </w:p>
    <w:p>
      <w:pPr>
        <w:pStyle w:val="ListParagraph"/>
        <w:numPr>
          <w:ilvl w:val="0"/>
          <w:numId w:val="2"/>
        </w:numPr>
        <w:spacing w:after="60"/>
      </w:pPr>
      <w:r>
        <w:t xml:space="preserve">Forticao. Tienda en línea (consulta del 19-oct-2026): https://waala16.meditech.team/shop</w:t>
      </w:r>
    </w:p>
    <w:p>
      <w:pPr>
        <w:pStyle w:val="ListParagraph"/>
        <w:numPr>
          <w:ilvl w:val="0"/>
          <w:numId w:val="2"/>
        </w:numPr>
        <w:spacing w:after="60"/>
      </w:pPr>
      <w:r>
        <w:t xml:space="preserve">Trading Economics. Precio del cacao (16-oct-2026): https://es.tradingeconomics.com/commodity/cocoa</w:t>
      </w:r>
    </w:p>
    <w:p>
      <w:pPr>
        <w:pStyle w:val="ListParagraph"/>
        <w:numPr>
          <w:ilvl w:val="0"/>
          <w:numId w:val="2"/>
        </w:numPr>
        <w:spacing w:after="60"/>
      </w:pPr>
      <w:r>
        <w:t xml:space="preserve">Panamericana. Comunicado ENFEN 16-2026 (16-sep-2026): https://panamericana.pe/buenosdiasperu/nacionales/474433-enfen-alerta-nino-devastador-1997</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3A2A"/>
        <w:sz w:val="16"/>
        <w:szCs w:val="16"/>
      </w:rPr>
      <w:t xml:space="preserve">AndiBite · Grupo 2 · T2 Plan de marketing · </w:t>
    </w:r>
    <w:r>
      <w:rPr>
        <w:color w:val="6B3A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1A14"/>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BA4036"/>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4A20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bc85121a884bb946cbd474e69e22b29ddd62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T2 · #04 FODA y FODA cruzado</dc:title>
  <dc:creator>Grupo 2</dc:creator>
  <cp:lastModifiedBy>Un-named</cp:lastModifiedBy>
  <cp:revision>1</cp:revision>
  <dcterms:created xsi:type="dcterms:W3CDTF">2026-10-19T02:15:51.300Z</dcterms:created>
  <dcterms:modified xsi:type="dcterms:W3CDTF">2026-10-19T02:15:51.300Z</dcterms:modified>
</cp:coreProperties>
</file>

<file path=docProps/custom.xml><?xml version="1.0" encoding="utf-8"?>
<Properties xmlns="http://schemas.openxmlformats.org/officeDocument/2006/custom-properties" xmlns:vt="http://schemas.openxmlformats.org/officeDocument/2006/docPropsVTypes"/>
</file>