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240" w:lineRule="auto"/>
      </w:pPr>
      <w:r>
        <w:drawing>
          <wp:inline distT="0" distB="0" distL="0" distR="0">
            <wp:extent cx="1428750" cy="48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spacing w:after="80"/>
      </w:pPr>
      <w:r>
        <w:rPr>
          <w:rFonts w:ascii="Calibri" w:cs="Calibri" w:eastAsia="Calibri" w:hAnsi="Calibri"/>
          <w:b/>
          <w:bCs/>
          <w:color w:val="4A2018"/>
          <w:sz w:val="40"/>
          <w:szCs w:val="40"/>
        </w:rPr>
        <w:t xml:space="preserve">T2 · #08 Qué le importa al cliente</w:t>
      </w:r>
    </w:p>
    <w:p>
      <w:pPr>
        <w:pBdr>
          <w:bottom w:val="single" w:color="BA4036" w:sz="8" w:space="6"/>
        </w:pBdr>
        <w:spacing w:after="120"/>
      </w:pPr>
      <w:r>
        <w:rPr>
          <w:i/>
          <w:iCs/>
          <w:color w:val="6B3A2A"/>
          <w:sz w:val="20"/>
          <w:szCs w:val="20"/>
        </w:rPr>
        <w:t xml:space="preserve">Responsable: Patricia Cárdenas · Grupo 2 · AndiBite · Propuesta para revisar</w:t>
      </w:r>
    </w:p>
    <w:p>
      <w:pPr>
        <w:spacing w:after="120"/>
      </w:pPr>
      <w:r>
        <w:rPr>
          <w:b/>
          <w:bCs/>
        </w:rPr>
        <w:t xml:space="preserve">Siglas.</w:t>
      </w:r>
      <w:r>
        <w:t xml:space="preserve"> NSE: nivel socioeconómico (A es el más alto). ODS: Objetivos de Desarrollo Sostenible. QR: código que se lee con la cámara del celular. IA: inteligencia artificial. INEI: Instituto Nacional de Estadística e Informática. MINSA: Ministerio de Salud. OMS: Organización Mundial de la Salud. EPS: Entidad Prestadora de Salud. Ipsos y Kantar: empresas de estudios de mercado.</w:t>
      </w:r>
    </w:p>
    <w:p>
      <w:pPr>
        <w:pStyle w:val="Heading1"/>
      </w:pPr>
      <w:r>
        <w:t xml:space="preserve">Para qué sirve este punto</w:t>
      </w:r>
    </w:p>
    <w:p>
      <w:pPr>
        <w:spacing w:after="120"/>
      </w:pPr>
      <w:r>
        <w:t xml:space="preserve">Es parte del análisis situacional: antes de decidir qué decir y dónde, hay que saber qué le pasa al cliente. Usamos el prompt 1 de la sesión 09, lo completamos con los datos de AndiBite y revisamos el resultado contra nuestra investigación: 10 entrevistas a profundidad, el focus group 1 y datos de Kantar, Ipsos, ENDES (Encuesta Demográfica y de Salud Familiar del INEI) y APEIM (Asociación Peruana de Empresas de Inteligencia de Mercados).</w:t>
      </w:r>
    </w:p>
    <w:p>
      <w:pPr>
        <w:pStyle w:val="Heading1"/>
      </w:pPr>
      <w:r>
        <w:t xml:space="preserve">Prompt 1 completado (IA)</w:t>
      </w:r>
    </w:p>
    <w:p>
      <w:pPr>
        <w:spacing w:after="120"/>
      </w:pPr>
      <w:r>
        <w:t xml:space="preserve">"Eres un analista de inteligencia de mercados. Tu tarea es identificar patrones de comportamiento del consumidor y vacíos de oferta en el mercado. El contexto es el desarrollo de un nuevo producto o servicio innovador basado en el siguiente modelo de negocio Canvas: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Propuesta de valor:</w:t>
      </w:r>
      <w:r>
        <w:t xml:space="preserve"> AndiBite es un mini brownie de 20 g con sangrecita de res en polvo (hierro hemo), en 3 sabores (Chispa, Andi y Lúcu). Es el snack de lonchera con hierro que el niño sí se come. El hierro se mide en laboratorio en cada lote y el padre lo ve en la app 'Andi, Misión Hierro' con el QR del envase. Meta: sin octógono. Se prueba gratis en el stand antes de comprar.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Segmento de clientes:</w:t>
      </w:r>
      <w:r>
        <w:t xml:space="preserve"> padres y madres de 32 a 45 años, NSE (nivel socioeconómico) A y B, con hijos de 4 a 11 años en colegio privado. Son planificados, leen etiquetas e invierten en educación y salud. Segmento A: Claudia Mendoza, abogada de San Borja, busca pruebas. Segmento B: Rodrigo Salazar, jefe de logística de San Miguel, busca resolver la semana y mira el precio por brownie.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ODS que aborda:</w:t>
      </w:r>
      <w:r>
        <w:t xml:space="preserve"> ODS 2 Hambre cero, meta 2.2 (poner fin a todas las formas de malnutrición). Complementarios: ODS 3 Salud y bienestar y ODS 8 Trabajo decente.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Mercado objetivo:</w:t>
      </w:r>
      <w:r>
        <w:t xml:space="preserve"> local, Lima Metropolitana (Lima Top y Lima Moderna como núcleo: 46,000 hogares). Rubro: snacks saludables y funcionales para la lonchera escolar, vendidos cara a cara en stands de malls, ferias, eventos, quioscos de colegio y tiendas naturistas, con recompra por WhatsApp.</w:t>
      </w:r>
    </w:p>
    <w:p>
      <w:pPr>
        <w:spacing w:after="120"/>
      </w:pPr>
      <w:r>
        <w:t xml:space="preserve">Con base en esa información, identifica: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Patrones de comportamiento del consumidor relacionados con ese tipo de producto o servicio.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Necesidades no resueltas o insatisfacción actual del segmento.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Vacíos de oferta en el mercado (espacios donde la propuesta puede diferenciarse).</w:t>
      </w:r>
    </w:p>
    <w:p>
      <w:pPr>
        <w:spacing w:after="120"/>
      </w:pPr>
      <w:r>
        <w:t xml:space="preserve">Presenta la información en una tabla con 3 columnas: Patrón de comportamiento, Necesidad no resuelta, Oportunidad de negocio."</w:t>
      </w:r>
    </w:p>
    <w:p>
      <w:pPr>
        <w:pStyle w:val="Heading1"/>
      </w:pPr>
      <w:r>
        <w:t xml:space="preserve">Resultado revisado</w:t>
      </w:r>
    </w:p>
    <w:p>
      <w:pPr>
        <w:spacing w:after="120"/>
      </w:pPr>
      <w:r>
        <w:t xml:space="preserve">Agregamos una cuarta columna con la evidencia de cada fila, para que nada quede como opinión.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2093"/>
        <w:gridCol w:w="2093"/>
        <w:gridCol w:w="2093"/>
        <w:gridCol w:w="2093"/>
      </w:tblGrid>
      <w:tr>
        <w:trPr>
          <w:tblHeader/>
        </w:trPr>
        <w:tc>
          <w:tcPr>
            <w:tcW w:type="dxa" w:w="98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9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Patrón de comportamiento</w:t>
            </w:r>
          </w:p>
        </w:tc>
        <w:tc>
          <w:tcPr>
            <w:tcW w:type="dxa" w:w="209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Necesidad no resuelta</w:t>
            </w:r>
          </w:p>
        </w:tc>
        <w:tc>
          <w:tcPr>
            <w:tcW w:type="dxa" w:w="209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Oportunidad de negocio</w:t>
            </w:r>
          </w:p>
        </w:tc>
        <w:tc>
          <w:tcPr>
            <w:tcW w:type="dxa" w:w="209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Evidencia</w:t>
            </w:r>
          </w:p>
        </w:tc>
      </w:tr>
      <w:tr>
        <w:trPr>
          <w:tblHeader w:val="false"/>
        </w:trPr>
        <w:tc>
          <w:tcPr>
            <w:tcW w:type="dxa" w:w="98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09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Lo nutritivo regresa intacto en la lonchera. El padre decide qué se manda, pero el niño "vota" no comiéndolo</w:t>
            </w:r>
          </w:p>
        </w:tc>
        <w:tc>
          <w:tcPr>
            <w:tcW w:type="dxa" w:w="209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Darle hierro al hijo sin pelear y sin botar comida</w:t>
            </w:r>
          </w:p>
        </w:tc>
        <w:tc>
          <w:tcPr>
            <w:tcW w:type="dxa" w:w="209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Poner el hierro dentro de algo que el niño ya quiere: un brownie de cacao. El niño prueba en el stand delante del padre; sin su aprobación no hay compra</w:t>
            </w:r>
          </w:p>
        </w:tc>
        <w:tc>
          <w:tcPr>
            <w:tcW w:type="dxa" w:w="209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Entrevistas: sangrecita en puré (Rubi Arcos), nuggets de sangrecita que "olía feo" y "parecía carbón" (Lucero Carrera); hígado, mondongo y sangrecita rechazados (Nataly). Focus 1: Rubelis eligió el brownie para "engañar" a su hija</w:t>
            </w:r>
          </w:p>
        </w:tc>
      </w:tr>
      <w:tr>
        <w:trPr>
          <w:tblHeader w:val="false"/>
        </w:trPr>
        <w:tc>
          <w:tcPr>
            <w:tcW w:type="dxa" w:w="98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09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La sangrecita se acepta escondida en algo dulce, pero se rechaza cuando se ve o se huele</w:t>
            </w:r>
          </w:p>
        </w:tc>
        <w:tc>
          <w:tcPr>
            <w:tcW w:type="dxa" w:w="209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Más opciones de hierro en formato dulce y listo, que no avergüencen al niño frente a sus amigos</w:t>
            </w:r>
          </w:p>
        </w:tc>
        <w:tc>
          <w:tcPr>
            <w:tcW w:type="dxa" w:w="209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Degustación a ciegas y después la revelación como mérito ("Sí, tiene sangrecita. No, no se nota"). La sangrecita va en el reverso y en la historia, no en el titular</w:t>
            </w:r>
          </w:p>
        </w:tc>
        <w:tc>
          <w:tcPr>
            <w:tcW w:type="dxa" w:w="209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Focus 1: la barrita de sangrecita gustó "a la primera" (Adriana) y "deberían haber más productos así"; los nuggets se rechazaron. Entrevistas: las mamás camuflan el hígado ("ella no sabe que es hígado", Lourdes)</w:t>
            </w:r>
          </w:p>
        </w:tc>
      </w:tr>
      <w:tr>
        <w:trPr>
          <w:tblHeader w:val="false"/>
        </w:trPr>
        <w:tc>
          <w:tcPr>
            <w:tcW w:type="dxa" w:w="98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09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El padre A/B mira los octógonos y cambia su compra, sobre todo por el "Alto en azúcar"</w:t>
            </w:r>
          </w:p>
        </w:tc>
        <w:tc>
          <w:tcPr>
            <w:tcW w:type="dxa" w:w="209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Un snack dulce para la lonchera que no traiga octógono y que el colegio acepte</w:t>
            </w:r>
          </w:p>
        </w:tc>
        <w:tc>
          <w:tcPr>
            <w:tcW w:type="dxa" w:w="209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Meta sin octógono (eritritol y plátano; de 4.6 a 7.1 g de azúcar por 100 g según la T1, con el límite en 10 g), que se dice solo cuando el laboratorio lo confirme. Abre el quiosco escolar, donde solo entran productos sin octógonos</w:t>
            </w:r>
          </w:p>
        </w:tc>
        <w:tc>
          <w:tcPr>
            <w:tcW w:type="dxa" w:w="209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Ipsos Perú (21-feb-2025): 83 % dice que los octógonos impactan sus compras y 70 % teme el "Alto en azúcar". En Lima Norte (NSE C) lo miraban pero compraban igual por precio (Susana): en A/B el precio pesa menos</w:t>
            </w:r>
          </w:p>
        </w:tc>
      </w:tr>
      <w:tr>
        <w:trPr>
          <w:tblHeader w:val="false"/>
        </w:trPr>
        <w:tc>
          <w:tcPr>
            <w:tcW w:type="dxa" w:w="98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09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Desconfía de lo "saludable" envasado y no entiende bien las etiquetas</w:t>
            </w:r>
          </w:p>
        </w:tc>
        <w:tc>
          <w:tcPr>
            <w:tcW w:type="dxa" w:w="209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Una prueba que pueda verificar, no una promesa</w:t>
            </w:r>
          </w:p>
        </w:tc>
        <w:tc>
          <w:tcPr>
            <w:tcW w:type="dxa" w:w="209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Hierro medido por lote y publicado en la app con el QR del envase: "Cada lote, analizado. Cada análisis, publicado." Es el vacío más claro: ningún competidor revisado en el #2 y el #10 (Nutri H, Forticao, Fika, La Purita, Mamalama y Bimbo Nutra Bien) publica su análisis por lote</w:t>
            </w:r>
          </w:p>
        </w:tc>
        <w:tc>
          <w:tcPr>
            <w:tcW w:type="dxa" w:w="209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Kantar (15-may-2025): 42 % desconfía de que un envasado sea saludable y 26 % dice que el etiquetado no es claro. Objeción de Claudia: "¿Cuántos mg de hierro tiene?" (documento 04)</w:t>
            </w:r>
          </w:p>
        </w:tc>
      </w:tr>
      <w:tr>
        <w:trPr>
          <w:tblHeader w:val="false"/>
        </w:trPr>
        <w:tc>
          <w:tcPr>
            <w:tcW w:type="dxa" w:w="98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09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Mañanas sin tiempo y variedad que se agota a mitad de semana; además, la comida se malogra en la mochila</w:t>
            </w:r>
          </w:p>
        </w:tc>
        <w:tc>
          <w:tcPr>
            <w:tcW w:type="dxa" w:w="209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Una lonchera resuelta para toda la semana, lista para servir y que aguante sin frío</w:t>
            </w:r>
          </w:p>
        </w:tc>
        <w:tc>
          <w:tcPr>
            <w:tcW w:type="dxa" w:w="209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Pack de 12 "Semana completa" con 3 sabores, porción sellada que no necesita frío, plan de loncheras en la app y aviso de recompra por WhatsApp</w:t>
            </w:r>
          </w:p>
        </w:tc>
        <w:tc>
          <w:tcPr>
            <w:tcW w:type="dxa" w:w="209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Entrevistas: "En la mañana no quiero prender la cocina, quiero practicidad pura" (Lucero); el jueves ya no sabe qué mandar y "sería bonito un paquete donde esté todo combinado" (Nataly); fruta oxidada, yogur sin frío, jugo que "explotó dentro de la mochila" (Vanessa)</w:t>
            </w:r>
          </w:p>
        </w:tc>
      </w:tr>
      <w:tr>
        <w:trPr>
          <w:tblHeader w:val="false"/>
        </w:trPr>
        <w:tc>
          <w:tcPr>
            <w:tcW w:type="dxa" w:w="98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09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Nadie habla de "anemia": se habla de hierro, energía y del control con el pediatra, que es la voz de autoridad</w:t>
            </w:r>
          </w:p>
        </w:tc>
        <w:tc>
          <w:tcPr>
            <w:tcW w:type="dxa" w:w="209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Saber si el hijo come suficiente hierro, sin alarmismo</w:t>
            </w:r>
          </w:p>
        </w:tc>
        <w:tc>
          <w:tcPr>
            <w:tcW w:type="dxa" w:w="209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Hablar de hierro medido, no de enfermedad. Recordatorio del control de hemoglobina en la app. Llegar a pediatras y nutricionistas (El Consejero, 25 % del volumen) con muestras y el informe de laboratorio</w:t>
            </w:r>
          </w:p>
        </w:tc>
        <w:tc>
          <w:tcPr>
            <w:tcW w:type="dxa" w:w="209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Entrevistas: ninguna mamá usó la palabra "anemia". ENDES 2024: 24.0 % de anemia en niños de 6 a 35 meses de Lima Metropolitana (criterio OMS 2024; Perú 2025: 34.9 %), pero no hay dato público para A/B [POR CONFIRMAR]. APEIM 2025: 53.5 % del NSE A tiene EPS (Entidad Prestadora de Salud) o seguro privado</w:t>
            </w:r>
          </w:p>
        </w:tc>
      </w:tr>
      <w:tr>
        <w:trPr>
          <w:tblHeader w:val="false"/>
        </w:trPr>
        <w:tc>
          <w:tcPr>
            <w:tcW w:type="dxa" w:w="98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09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Compra por recomendación (chat del salón, pediatra, Instagram) y cada vez más por internet</w:t>
            </w:r>
          </w:p>
        </w:tc>
        <w:tc>
          <w:tcPr>
            <w:tcW w:type="dxa" w:w="209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Comprar y recomprar sin hacer cola y sin tener que acordarse</w:t>
            </w:r>
          </w:p>
        </w:tc>
        <w:tc>
          <w:tcPr>
            <w:tcW w:type="dxa" w:w="209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Mamás embajadoras por salón (el premio es para el padre, nunca para el niño). Recompra en 1 clic por WhatsApp, con entregas agrupadas 2 días por semana o recojo en el stand</w:t>
            </w:r>
          </w:p>
        </w:tc>
        <w:tc>
          <w:tcPr>
            <w:tcW w:type="dxa" w:w="209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APEIM 2025: compra por internet el 53.6 % de las personas de 18 años o más del NSE A y el 39.1 % del B (23.3 % en todo Lima). Entrevistas: 3 mamás pidieron WhatsApp o delivery de forma espontánea (Llamilet, Susana, Vanessa)</w:t>
            </w:r>
          </w:p>
        </w:tc>
      </w:tr>
      <w:tr>
        <w:trPr>
          <w:tblHeader w:val="false"/>
        </w:trPr>
        <w:tc>
          <w:tcPr>
            <w:tcW w:type="dxa" w:w="98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09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El padre paga más por lo que es para el hijo, pero lo ve como complemento de la lonchera, no como reemplazo</w:t>
            </w:r>
          </w:p>
        </w:tc>
        <w:tc>
          <w:tcPr>
            <w:tcW w:type="dxa" w:w="209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Un "sólido" de lonchera que valga lo que cuesta y acompañe a la fruta</w:t>
            </w:r>
          </w:p>
        </w:tc>
        <w:tc>
          <w:tcPr>
            <w:tcW w:type="dxa" w:w="209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Posicionarlo como el sólido de la lonchera, al lado de la fruta. Justificar el precio (S/4.16 a 4.65 por brownie en pack) con hierro medido, sin octógono y la app</w:t>
            </w:r>
          </w:p>
        </w:tc>
        <w:tc>
          <w:tcPr>
            <w:tcW w:type="dxa" w:w="209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Lourdes: "No es para reemplazar, sino que podría complementar"; revisa etiquetas "para ella", no para los adultos. Kantar (13-mar-2025): 65 % de las loncheras de Lima lleva fruta o verdura. APEIM 2025: el hogar A gasta S/1,709 al mes en educación y salud y el B, S/998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Qué corregimos o validamos en el resultado de la 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 que corregimos: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Una IA tiende a proponer frases como "previene la anemia" o "superalimento". Las quitamos: "previene la anemia" puede sancionarse como publicidad engañosa (Decreto Legislativo 1044) y el tono de marca no usa "superalimento".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También tiende a sugerir suscripción y venta online como canal principal. Lo cambiamos por lo decidido: venta física con degustación y WhatsApp solo para recompra, sin suscripción.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"Sin octógono" se dice como meta hasta tener el informe del laboratorio [POR CONFIRMAR].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 que validamos con datos:</w:t>
      </w:r>
      <w:r>
        <w:t xml:space="preserve"> cada fila tiene una cita de entrevista o del focus 1, o un dato con fuente y fecha (Ipsos, Kantar, ENDES, APEIM).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Límite honesto:</w:t>
      </w:r>
      <w:r>
        <w:t xml:space="preserve"> las 10 entrevistas y el focus 1 se hicieron con mamás de Lima Norte, NSE C/B. Los patrones de rechazo de sabor y de logística se repiten en cualquier NSE, pero la disposición a pagar del segmento A/B todavía se apoya en datos secundarios y en los buyer persona. Los resultados del focus 2 con degustación están </w:t>
      </w:r>
      <w:r>
        <w:rPr>
          <w:b/>
          <w:bCs/>
        </w:rPr>
        <w:t xml:space="preserve">por cargar</w:t>
      </w:r>
      <w:r>
        <w:t xml:space="preserve"> y deben confirmar las filas 3, 4 y 8.</w:t>
      </w:r>
    </w:p>
    <w:p>
      <w:pPr>
        <w:pStyle w:val="Heading1"/>
      </w:pPr>
      <w:r>
        <w:t xml:space="preserve">Fuentes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01-contexto/03-resumen-entrevistas-profundidad.md (10 entrevistas, Lima Norte, NSE C/B).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01-contexto/04-resumen-focus-group-1.md (focus group 1, virtual).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04-reformulacion/04-publico-objetivo-y-buyer-persona-con-datos.md (versión del 3-oct-2026) y 04-reformulacion/T2/HECHOS_v7.md.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Prompt 1 de la clase: 04-reformulacion/T2/CLASE-sesion09.md y PPT Sesión 09 de la docente, "Desarrollo y lanzamiento de nuevos productos", Unidad 3 (texto completo del prompt).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Ipsos Perú. "83 % considera que los octógonos tienen impacto en sus compras" (21-feb-2025). https://www.ipsos.com/es-pe/83-considera-que-los-octogonos-tienen-impacto-en-sus-compras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Kantar. Consumo saludable en Perú (15-may-2025). https://www.kantar.com/latin-america/inspiracion/consumidor/2025/consumo-saludable-peru-tendencia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Kantar. "¿Cuáles alimentos hacen parte de las loncheras escolares en Perú?" (13-mar-2025). https://www.kantar.com/latin-america/inspiracion/consumo-masivo/2025/tendencias-en-lonchera-escolar-en-peru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APEIM. Niveles Socioeconómicos 2025 (setiembre de 2025). https://apeim.com.pe/wp-content/uploads/2025/12/Informe-completo-de-NSE-2025.pdf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MCLCP Lima Metropolitana. Acta 03-2025, resultados ENDES 2024 de Lima (agosto de 2025). https://intranet.mesadeconcertacion.org.pe/storage/documentos/2025-08-18/acta-03-mclcp-lm-0625.pdf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Congreso de la República. Decreto Legislativo 1044, Ley de Represión de la Competencia Desleal. https://www.leyes.congreso.gob.pe/Documentos/DecretosLegislativos/01044.pdf</w:t>
      </w:r>
    </w:p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3A2A"/>
        <w:sz w:val="16"/>
        <w:szCs w:val="16"/>
      </w:rPr>
      <w:t xml:space="preserve">AndiBite · Grupo 2 · T2 Plan de marketing · </w:t>
    </w:r>
    <w:r>
      <w:rPr>
        <w:color w:val="6B3A2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B1A14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BA403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4A201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3bc85121a884bb946cbd474e69e22b29ddd628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T2 · #08 Qué le importa al cliente</dc:title>
  <dc:creator>Grupo 2</dc:creator>
  <cp:lastModifiedBy>Un-named</cp:lastModifiedBy>
  <cp:revision>1</cp:revision>
  <dcterms:created xsi:type="dcterms:W3CDTF">2026-10-19T02:15:54.316Z</dcterms:created>
  <dcterms:modified xsi:type="dcterms:W3CDTF">2026-10-19T02:15:54.316Z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