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#11 Slogan y cómo queremos que nos recuerden</w:t>
      </w:r>
    </w:p>
    <w:p>
      <w:pPr>
        <w:pBdr>
          <w:bottom w:val="single" w:color="BA4036" w:sz="8" w:space="6"/>
        </w:pBdr>
        <w:spacing w:after="120"/>
      </w:pPr>
      <w:r>
        <w:rPr>
          <w:i/>
          <w:iCs/>
          <w:color w:val="6B3A2A"/>
          <w:sz w:val="20"/>
          <w:szCs w:val="20"/>
        </w:rPr>
        <w:t xml:space="preserve">Responsable: Patricia Cárdenas · Grupo 2 · AndiBite · Propuesta para revisar</w:t>
      </w:r>
    </w:p>
    <w:p>
      <w:pPr>
        <w:spacing w:after="120"/>
      </w:pPr>
      <w:r>
        <w:rPr>
          <w:b/>
          <w:bCs/>
        </w:rPr>
        <w:t xml:space="preserve">Siglas.</w:t>
      </w:r>
      <w:r>
        <w:t xml:space="preserve"> POP: material en el punto de venta (carteles, habladores, banners). QR: código que se lee con la cámara del celular. A y B: los dos segmentos del público (Claudia, A; Rodrigo, B). Codex: Codex Alimentarius, las normas de alimentos de la FAO y la OMS. FAO: Organización de las Naciones Unidas para la Alimentación y la Agricultura. OMS: Organización Mundial de la Salud.</w:t>
      </w:r>
    </w:p>
    <w:p>
      <w:pPr>
        <w:pStyle w:val="Heading1"/>
      </w:pPr>
      <w:r>
        <w:t xml:space="preserve">Para qué sirve este punto</w:t>
      </w:r>
    </w:p>
    <w:p>
      <w:pPr>
        <w:spacing w:after="120"/>
      </w:pPr>
      <w:r>
        <w:t xml:space="preserve">La clase pide el slogan de la campaña y responder "¿cómo queremos que nos recuerden?": qué palabras, imágenes y emociones deben asociar con la marca. Parte del posicionamiento del punto #10: AndiBite es "el brownie con el hierro medido" y su territorio es "Medido, no prometido".</w:t>
      </w:r>
    </w:p>
    <w:p>
      <w:pPr>
        <w:pStyle w:val="Heading1"/>
      </w:pPr>
      <w:r>
        <w:t xml:space="preserve">1. ¿Sirve "Hierro medido. Sabor a brownie." como slogan?</w:t>
      </w:r>
    </w:p>
    <w:p>
      <w:pPr>
        <w:spacing w:after="120"/>
      </w:pPr>
      <w:r>
        <w:t xml:space="preserve">El mensaje central ya está decidido. Lo evaluamos contra dos frases de marca del documento 06 para comprobar que es la mejor opción, no solo la primera.</w:t>
      </w:r>
    </w:p>
    <w:p>
      <w:pPr>
        <w:spacing w:after="120"/>
      </w:pPr>
      <w:r>
        <w:rPr>
          <w:b/>
          <w:bCs/>
        </w:rPr>
        <w:t xml:space="preserve">Criterios (puntaje del 1 al 5):</w:t>
      </w:r>
    </w:p>
    <w:p>
      <w:pPr>
        <w:pStyle w:val="ListParagraph"/>
        <w:numPr>
          <w:ilvl w:val="0"/>
          <w:numId w:val="2"/>
        </w:numPr>
        <w:spacing w:after="60"/>
      </w:pPr>
      <w:r>
        <w:rPr>
          <w:b/>
          <w:bCs/>
        </w:rPr>
        <w:t xml:space="preserve">Corto:</w:t>
      </w:r>
      <w:r>
        <w:t xml:space="preserve"> 6 palabras o menos.</w:t>
      </w:r>
    </w:p>
    <w:p>
      <w:pPr>
        <w:pStyle w:val="ListParagraph"/>
        <w:numPr>
          <w:ilvl w:val="0"/>
          <w:numId w:val="2"/>
        </w:numPr>
        <w:spacing w:after="60"/>
      </w:pPr>
      <w:r>
        <w:rPr>
          <w:b/>
          <w:bCs/>
        </w:rPr>
        <w:t xml:space="preserve">Recordable:</w:t>
      </w:r>
      <w:r>
        <w:t xml:space="preserve"> tiene ritmo o contraste y se puede repetir de memoria.</w:t>
      </w:r>
    </w:p>
    <w:p>
      <w:pPr>
        <w:pStyle w:val="ListParagraph"/>
        <w:numPr>
          <w:ilvl w:val="0"/>
          <w:numId w:val="2"/>
        </w:numPr>
        <w:spacing w:after="60"/>
      </w:pPr>
      <w:r>
        <w:rPr>
          <w:b/>
          <w:bCs/>
        </w:rPr>
        <w:t xml:space="preserve">Legal:</w:t>
      </w:r>
      <w:r>
        <w:t xml:space="preserve"> no habla de enfermedad (nunca "previene la anemia", que puede sancionarse como publicidad engañosa según el Decreto Legislativo 1044) y lo que dice se puede comprobar.</w:t>
      </w:r>
    </w:p>
    <w:p>
      <w:pPr>
        <w:pStyle w:val="ListParagraph"/>
        <w:numPr>
          <w:ilvl w:val="0"/>
          <w:numId w:val="2"/>
        </w:numPr>
        <w:spacing w:after="60"/>
      </w:pPr>
      <w:r>
        <w:rPr>
          <w:b/>
          <w:bCs/>
        </w:rPr>
        <w:t xml:space="preserve">Diferenciador:</w:t>
      </w:r>
      <w:r>
        <w:t xml:space="preserve"> dice algo que los competidores no pueden decir.</w:t>
      </w:r>
    </w:p>
    <w:p>
      <w:pPr>
        <w:pStyle w:val="ListParagraph"/>
        <w:numPr>
          <w:ilvl w:val="0"/>
          <w:numId w:val="2"/>
        </w:numPr>
        <w:spacing w:after="60"/>
      </w:pPr>
      <w:r>
        <w:rPr>
          <w:b/>
          <w:bCs/>
        </w:rPr>
        <w:t xml:space="preserve">Sirve para A y para B.</w:t>
      </w:r>
    </w:p>
    <w:p>
      <w:pPr>
        <w:pStyle w:val="ListParagraph"/>
        <w:numPr>
          <w:ilvl w:val="0"/>
          <w:numId w:val="2"/>
        </w:numPr>
        <w:spacing w:after="60"/>
      </w:pPr>
      <w:r>
        <w:rPr>
          <w:b/>
          <w:bCs/>
        </w:rPr>
        <w:t xml:space="preserve">Dice qué es 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3"/>
        <w:gridCol w:w="867"/>
        <w:gridCol w:w="867"/>
        <w:gridCol w:w="867"/>
        <w:gridCol w:w="867"/>
        <w:gridCol w:w="867"/>
        <w:gridCol w:w="867"/>
        <w:gridCol w:w="865"/>
      </w:tblGrid>
      <w:tr>
        <w:trPr>
          <w:tblHeader/>
        </w:trPr>
        <w:tc>
          <w:tcPr>
            <w:tcW w:type="dxa" w:w="329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Opción</w:t>
            </w:r>
          </w:p>
        </w:tc>
        <w:tc>
          <w:tcPr>
            <w:tcW w:type="dxa" w:w="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Corto</w:t>
            </w:r>
          </w:p>
        </w:tc>
        <w:tc>
          <w:tcPr>
            <w:tcW w:type="dxa" w:w="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Recordable</w:t>
            </w:r>
          </w:p>
        </w:tc>
        <w:tc>
          <w:tcPr>
            <w:tcW w:type="dxa" w:w="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Legal</w:t>
            </w:r>
          </w:p>
        </w:tc>
        <w:tc>
          <w:tcPr>
            <w:tcW w:type="dxa" w:w="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Diferenciador</w:t>
            </w:r>
          </w:p>
        </w:tc>
        <w:tc>
          <w:tcPr>
            <w:tcW w:type="dxa" w:w="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 y B</w:t>
            </w:r>
          </w:p>
        </w:tc>
        <w:tc>
          <w:tcPr>
            <w:tcW w:type="dxa" w:w="86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Dice qué es</w:t>
            </w:r>
          </w:p>
        </w:tc>
        <w:tc>
          <w:tcPr>
            <w:tcW w:type="dxa" w:w="86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Total (de 30)</w:t>
            </w:r>
          </w:p>
        </w:tc>
      </w:tr>
      <w:tr>
        <w:trPr>
          <w:tblHeader w:val="false"/>
        </w:trPr>
        <w:tc>
          <w:tcPr>
            <w:tcW w:type="dxa" w:w="32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 "Hierro medido. Sabor a brownie."</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w:t>
            </w:r>
          </w:p>
        </w:tc>
        <w:tc>
          <w:tcPr>
            <w:tcW w:type="dxa" w:w="8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28</w:t>
            </w:r>
          </w:p>
        </w:tc>
      </w:tr>
      <w:tr>
        <w:trPr>
          <w:tblHeader w:val="false"/>
        </w:trPr>
        <w:tc>
          <w:tcPr>
            <w:tcW w:type="dxa" w:w="329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"Medido, no prometido."</w:t>
            </w:r>
          </w:p>
        </w:tc>
        <w:tc>
          <w:tcPr>
            <w:tcW w:type="dxa" w:w="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w:t>
            </w:r>
          </w:p>
        </w:tc>
        <w:tc>
          <w:tcPr>
            <w:tcW w:type="dxa" w:w="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w:t>
            </w:r>
          </w:p>
        </w:tc>
        <w:tc>
          <w:tcPr>
            <w:tcW w:type="dxa" w:w="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5</w:t>
            </w:r>
          </w:p>
        </w:tc>
        <w:tc>
          <w:tcPr>
            <w:tcW w:type="dxa" w:w="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w:t>
            </w:r>
          </w:p>
        </w:tc>
        <w:tc>
          <w:tcPr>
            <w:tcW w:type="dxa" w:w="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3</w:t>
            </w:r>
          </w:p>
        </w:tc>
        <w:tc>
          <w:tcPr>
            <w:tcW w:type="dxa" w:w="86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w:t>
            </w:r>
          </w:p>
        </w:tc>
        <w:tc>
          <w:tcPr>
            <w:tcW w:type="dxa" w:w="86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22</w:t>
            </w:r>
          </w:p>
        </w:tc>
      </w:tr>
      <w:tr>
        <w:trPr>
          <w:tblHeader w:val="false"/>
        </w:trPr>
        <w:tc>
          <w:tcPr>
            <w:tcW w:type="dxa" w:w="329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 "Lo que ya le gusta, con lo que le hace falta."</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4</w:t>
            </w:r>
          </w:p>
        </w:tc>
        <w:tc>
          <w:tcPr>
            <w:tcW w:type="dxa" w:w="86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2</w:t>
            </w:r>
          </w:p>
        </w:tc>
        <w:tc>
          <w:tcPr>
            <w:tcW w:type="dxa" w:w="86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18</w:t>
            </w:r>
          </w:p>
        </w:tc>
      </w:tr>
    </w:tbl>
    <w:p>
      <w:pPr>
        <w:spacing w:after="80"/>
      </w:pPr>
    </w:p>
    <w:p>
      <w:pPr>
        <w:spacing w:after="120"/>
      </w:pPr>
      <w:r>
        <w:rPr>
          <w:b/>
          <w:bCs/>
        </w:rPr>
        <w:t xml:space="preserve">Por qué gana la opción 1:</w:t>
      </w:r>
    </w:p>
    <w:p>
      <w:pPr>
        <w:pStyle w:val="ListParagraph"/>
        <w:numPr>
          <w:ilvl w:val="0"/>
          <w:numId w:val="2"/>
        </w:numPr>
        <w:spacing w:after="60"/>
      </w:pPr>
      <w:r>
        <w:rPr>
          <w:b/>
          <w:bCs/>
        </w:rPr>
        <w:t xml:space="preserve">Corto y con ritmo:</w:t>
      </w:r>
      <w:r>
        <w:t xml:space="preserve"> 5 palabras en dos frases paralelas. La primera es la razón (hierro medido) y la segunda es el placer (sabor a brownie). Ese contraste es lo que se recuerda.</w:t>
      </w:r>
    </w:p>
    <w:p>
      <w:pPr>
        <w:pStyle w:val="ListParagraph"/>
        <w:numPr>
          <w:ilvl w:val="0"/>
          <w:numId w:val="2"/>
        </w:numPr>
        <w:spacing w:after="60"/>
      </w:pPr>
      <w:r>
        <w:rPr>
          <w:b/>
          <w:bCs/>
        </w:rPr>
        <w:t xml:space="preserve">Diferenciador:</w:t>
      </w:r>
      <w:r>
        <w:t xml:space="preserve"> "medido" es lo que solo AndiBite hace: el análisis de cada lote se publica en la app. Nutri H dice "antianémico" y Forticao, "prevenir y combatir la anemia"; Fika, La Purita y Mamalama no prometen hierro (puntos #2 y #10).</w:t>
      </w:r>
    </w:p>
    <w:p>
      <w:pPr>
        <w:pStyle w:val="ListParagraph"/>
        <w:numPr>
          <w:ilvl w:val="0"/>
          <w:numId w:val="2"/>
        </w:numPr>
        <w:spacing w:after="60"/>
      </w:pPr>
      <w:r>
        <w:rPr>
          <w:b/>
          <w:bCs/>
        </w:rPr>
        <w:t xml:space="preserve">Sirve para A y para B:</w:t>
      </w:r>
      <w:r>
        <w:t xml:space="preserve"> a Claudia le habla "hierro medido" (la prueba); a Rodrigo le habla "sabor a brownie" (el niño se lo come y la lonchera no regresa). Cada segmento tiene además su línea propia (sección 2).</w:t>
      </w:r>
    </w:p>
    <w:p>
      <w:pPr>
        <w:pStyle w:val="ListParagraph"/>
        <w:numPr>
          <w:ilvl w:val="0"/>
          <w:numId w:val="2"/>
        </w:numPr>
        <w:spacing w:after="60"/>
      </w:pPr>
      <w:r>
        <w:rPr>
          <w:b/>
          <w:bCs/>
        </w:rPr>
        <w:t xml:space="preserve">Legal:</w:t>
      </w:r>
      <w:r>
        <w:t xml:space="preserve"> no promete curar ni prevenir nada y no da una cifra, así que no depende de cuántos mg salgan en el laboratorio. Pierde un punto porque "medido" exige que el informe del laboratorio exista desde el primer lote que se vende. Si no hay informe, no se puede usar.</w:t>
      </w:r>
    </w:p>
    <w:p>
      <w:pPr>
        <w:spacing w:after="120"/>
      </w:pPr>
      <w:r>
        <w:rPr>
          <w:b/>
          <w:bCs/>
        </w:rPr>
        <w:t xml:space="preserve">Recomendación: mantener "Hierro medido. Sabor a brownie." como slogan final.</w:t>
      </w:r>
      <w:r>
        <w:t xml:space="preserve"> "Medido, no prometido" queda como idea del territorio de marca (para la sección de transparencia de la app y los posts de "Abre el laboratorio"). "El snack de lonchera que tu hijo sí se come" queda como frase de apoyo.</w:t>
      </w:r>
    </w:p>
    <w:p>
      <w:pPr>
        <w:spacing w:after="120"/>
      </w:pPr>
      <w:r>
        <w:rPr>
          <w:b/>
          <w:bCs/>
        </w:rPr>
        <w:t xml:space="preserve">Cuidados legales del slogan:</w:t>
      </w:r>
    </w:p>
    <w:p>
      <w:pPr>
        <w:pStyle w:val="ListParagraph"/>
        <w:numPr>
          <w:ilvl w:val="0"/>
          <w:numId w:val="2"/>
        </w:numPr>
        <w:spacing w:after="60"/>
      </w:pPr>
      <w:r>
        <w:t xml:space="preserve">No se usa sin el informe del laboratorio del lote [POR CONFIRMAR, primer análisis].</w:t>
      </w:r>
    </w:p>
    <w:p>
      <w:pPr>
        <w:pStyle w:val="ListParagraph"/>
        <w:numPr>
          <w:ilvl w:val="0"/>
          <w:numId w:val="2"/>
        </w:numPr>
        <w:spacing w:after="60"/>
      </w:pPr>
      <w:r>
        <w:t xml:space="preserve">No se acompaña de "previene", "combate" ni "cura la anemia".</w:t>
      </w:r>
    </w:p>
    <w:p>
      <w:pPr>
        <w:pStyle w:val="ListParagraph"/>
        <w:numPr>
          <w:ilvl w:val="0"/>
          <w:numId w:val="2"/>
        </w:numPr>
        <w:spacing w:after="60"/>
      </w:pPr>
      <w:r>
        <w:t xml:space="preserve">No se acompaña de "alto en hierro" ni de una cifra en mg hasta tener el informe; "fuente de hierro" solo si el laboratorio confirma al menos 2.1 mg por 100 g (Codex, documento 06, sección 7).</w:t>
      </w:r>
    </w:p>
    <w:p>
      <w:pPr>
        <w:pStyle w:val="ListParagraph"/>
        <w:numPr>
          <w:ilvl w:val="0"/>
          <w:numId w:val="2"/>
        </w:numPr>
        <w:spacing w:after="60"/>
      </w:pPr>
      <w:r>
        <w:t xml:space="preserve">[PROPUESTA] Pedir la búsqueda en INDECOPI (Instituto Nacional de Defensa de la Competencia y de la Protección de la Propiedad Intelectual) y registrar el slogan como lema comercial junto con la marca, en la clase 30. La Decisión 486 de la Comunidad Andina permite registrar lemas comerciales. Así nadie más puede usarlo. Costo y plazo [POR CONFIRMAR con Adela].</w:t>
      </w:r>
    </w:p>
    <w:p>
      <w:pPr>
        <w:pStyle w:val="Heading1"/>
      </w:pPr>
      <w:r>
        <w:t xml:space="preserve">2. El slogan dentro de la campaña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1"/>
        <w:gridCol w:w="4099"/>
        <w:gridCol w:w="4100"/>
      </w:tblGrid>
      <w:tr>
        <w:trPr>
          <w:tblHeader/>
        </w:trPr>
        <w:tc>
          <w:tcPr>
            <w:tcW w:type="dxa" w:w="116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Nivel</w:t>
            </w:r>
          </w:p>
        </w:tc>
        <w:tc>
          <w:tcPr>
            <w:tcW w:type="dxa" w:w="409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Frase</w:t>
            </w:r>
          </w:p>
        </w:tc>
        <w:tc>
          <w:tcPr>
            <w:tcW w:type="dxa" w:w="410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Dónde</w:t>
            </w:r>
          </w:p>
        </w:tc>
      </w:tr>
      <w:tr>
        <w:trPr>
          <w:tblHeader w:val="false"/>
        </w:trPr>
        <w:tc>
          <w:tcPr>
            <w:tcW w:type="dxa" w:w="11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Slogan</w:t>
            </w:r>
          </w:p>
        </w:tc>
        <w:tc>
          <w:tcPr>
            <w:tcW w:type="dxa" w:w="40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"Hierro medido. Sabor a brownie."</w:t>
            </w:r>
          </w:p>
        </w:tc>
        <w:tc>
          <w:tcPr>
            <w:tcW w:type="dxa" w:w="41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Empaque, stand, perfil de Instagram, cierre de cada video</w:t>
            </w:r>
          </w:p>
        </w:tc>
      </w:tr>
      <w:tr>
        <w:trPr>
          <w:tblHeader w:val="false"/>
        </w:trPr>
        <w:tc>
          <w:tcPr>
            <w:tcW w:type="dxa" w:w="11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Apoyo</w:t>
            </w:r>
          </w:p>
        </w:tc>
        <w:tc>
          <w:tcPr>
            <w:tcW w:type="dxa" w:w="40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snack de lonchera que tu hijo sí se come."</w:t>
            </w:r>
          </w:p>
        </w:tc>
        <w:tc>
          <w:tcPr>
            <w:tcW w:type="dxa" w:w="410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Material POP (material en el punto de venta), degustación</w:t>
            </w:r>
          </w:p>
        </w:tc>
      </w:tr>
      <w:tr>
        <w:trPr>
          <w:tblHeader w:val="false"/>
        </w:trPr>
        <w:tc>
          <w:tcPr>
            <w:tcW w:type="dxa" w:w="116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Línea A (Claudia)</w:t>
            </w:r>
          </w:p>
        </w:tc>
        <w:tc>
          <w:tcPr>
            <w:tcW w:type="dxa" w:w="409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"Él ve un brownie. Tú ves el hierro medido de su lote."</w:t>
            </w:r>
          </w:p>
        </w:tc>
        <w:tc>
          <w:tcPr>
            <w:tcW w:type="dxa" w:w="410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Pauta en Lima Top, nutricionistas, punto 3, colegios de pensión alta</w:t>
            </w:r>
          </w:p>
        </w:tc>
      </w:tr>
      <w:tr>
        <w:trPr>
          <w:tblHeader w:val="false"/>
        </w:trPr>
        <w:tc>
          <w:tcPr>
            <w:tcW w:type="dxa" w:w="116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Línea B (Rodrigo)</w:t>
            </w:r>
          </w:p>
        </w:tc>
        <w:tc>
          <w:tcPr>
            <w:tcW w:type="dxa" w:w="409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"Una mañana menos: la lonchera de la semana, a S/4.16 por brownie."</w:t>
            </w:r>
          </w:p>
        </w:tc>
        <w:tc>
          <w:tcPr>
            <w:tcW w:type="dxa" w:w="410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Pauta en Lima Moderna, punto 2, carrito en Plaza Vea, chats de colegios de pensión media</w:t>
            </w:r>
          </w:p>
        </w:tc>
      </w:tr>
    </w:tbl>
    <w:p>
      <w:pPr>
        <w:spacing w:after="80"/>
      </w:pPr>
    </w:p>
    <w:p>
      <w:pPr>
        <w:pStyle w:val="Heading1"/>
      </w:pPr>
      <w:r>
        <w:t xml:space="preserve">3. Palabras, imágenes y emociones que debe evocar la marca</w:t>
      </w:r>
    </w:p>
    <w:p>
      <w:pPr>
        <w:spacing w:after="120"/>
      </w:pPr>
      <w:r>
        <w:t xml:space="preserve">Regla para las imágenes: los niños pueden aparecer comiendo, pero no recomiendan el producto a cámara ni se les habla a ellos (Ley 30021, artículo 8). El mensaje es para el adulto.</w:t>
      </w:r>
    </w:p>
    <w:p>
      <w:pPr>
        <w:pStyle w:val="Heading2"/>
      </w:pPr>
      <w:r>
        <w:t xml:space="preserve">Segmento A: Claudia, la Guardiana del Hierro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8139"/>
      </w:tblGrid>
      <w:tr>
        <w:trPr>
          <w:tblHeader/>
        </w:trPr>
        <w:tc>
          <w:tcPr>
            <w:tcW w:type="dxa" w:w="122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tc>
        <w:tc>
          <w:tcPr>
            <w:tcW w:type="dxa" w:w="813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5 que debe evocar</w:t>
            </w:r>
          </w:p>
        </w:tc>
      </w:tr>
      <w:tr>
        <w:trPr>
          <w:tblHeader w:val="false"/>
        </w:trPr>
        <w:tc>
          <w:tcPr>
            <w:tcW w:type="dxa" w:w="122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Palabras</w:t>
            </w:r>
          </w:p>
        </w:tc>
        <w:tc>
          <w:tcPr>
            <w:tcW w:type="dxa" w:w="813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Medido. 2. Lote. 3. Laboratorio. 4. Hierro. 5. Transparente</w:t>
            </w:r>
          </w:p>
        </w:tc>
      </w:tr>
      <w:tr>
        <w:trPr>
          <w:tblHeader w:val="false"/>
        </w:trPr>
        <w:tc>
          <w:tcPr>
            <w:tcW w:type="dxa" w:w="122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Imágenes</w:t>
            </w:r>
          </w:p>
        </w:tc>
        <w:tc>
          <w:tcPr>
            <w:tcW w:type="dxa" w:w="813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 Un dedo escanea el QR del envase y en el celular aparece el informe del lote. 2. El niño muerde el brownie en el recreo y la lonchera regresa vacía. 3. La tabla nutricional en primer plano, clara y sin letra chica. 4. Cacao y sangrecita en polvo cayendo, con la frase "Sí, tiene sangrecita. No, no se nota." 5. La madre sale tranquila del control con el pediatra y la app le recuerda la fecha del próximo</w:t>
            </w:r>
          </w:p>
        </w:tc>
      </w:tr>
      <w:tr>
        <w:trPr>
          <w:tblHeader w:val="false"/>
        </w:trPr>
        <w:tc>
          <w:tcPr>
            <w:tcW w:type="dxa" w:w="122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Emociones</w:t>
            </w:r>
          </w:p>
        </w:tc>
        <w:tc>
          <w:tcPr>
            <w:tcW w:type="dxa" w:w="813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Tranquilidad. 2. Confianza. 3. Alivio. 4. Control (decidir con datos). 5. Orgullo de buena madre</w:t>
            </w:r>
          </w:p>
        </w:tc>
      </w:tr>
    </w:tbl>
    <w:p>
      <w:pPr>
        <w:spacing w:after="80"/>
      </w:pPr>
    </w:p>
    <w:p>
      <w:pPr>
        <w:pStyle w:val="Heading2"/>
      </w:pPr>
      <w:r>
        <w:t xml:space="preserve">Segmento B: Rodrigo, el Resolutivo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8139"/>
      </w:tblGrid>
      <w:tr>
        <w:trPr>
          <w:tblHeader/>
        </w:trPr>
        <w:tc>
          <w:tcPr>
            <w:tcW w:type="dxa" w:w="122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tc>
        <w:tc>
          <w:tcPr>
            <w:tcW w:type="dxa" w:w="8139"/>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5 que debe evocar</w:t>
            </w:r>
          </w:p>
        </w:tc>
      </w:tr>
      <w:tr>
        <w:trPr>
          <w:tblHeader w:val="false"/>
        </w:trPr>
        <w:tc>
          <w:tcPr>
            <w:tcW w:type="dxa" w:w="122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Palabras</w:t>
            </w:r>
          </w:p>
        </w:tc>
        <w:tc>
          <w:tcPr>
            <w:tcW w:type="dxa" w:w="813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Resuelto. 2. Semana completa. 3. Listo. 4. Aviso. 5. Precio claro</w:t>
            </w:r>
          </w:p>
        </w:tc>
      </w:tr>
      <w:tr>
        <w:trPr>
          <w:tblHeader w:val="false"/>
        </w:trPr>
        <w:tc>
          <w:tcPr>
            <w:tcW w:type="dxa" w:w="122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Imágenes</w:t>
            </w:r>
          </w:p>
        </w:tc>
        <w:tc>
          <w:tcPr>
            <w:tcW w:type="dxa" w:w="8139"/>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 La caja de 12 abierta el domingo con la semana armada. 2. El mensaje de WhatsApp "¿Repetimos el jueves?" en el celular. 3. El papá cierra la lonchera con una mano y con la otra sostiene el celular, a las 6 de la mañana. 4. La mochila llega al recreo y el brownie está entero, sin frío. 5. El stand del mall: el hijo prueba y el papá paga en un minuto</w:t>
            </w:r>
          </w:p>
        </w:tc>
      </w:tr>
      <w:tr>
        <w:trPr>
          <w:tblHeader w:val="false"/>
        </w:trPr>
        <w:tc>
          <w:tcPr>
            <w:tcW w:type="dxa" w:w="122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Emociones</w:t>
            </w:r>
          </w:p>
        </w:tc>
        <w:tc>
          <w:tcPr>
            <w:tcW w:type="dxa" w:w="8139"/>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Alivio. 2. Practicidad (sentirse eficiente). 3. Tranquilidad. 4. Satisfacción de cumplir. 5. Complicidad (la marca lo entiende sin sermones)</w:t>
            </w:r>
          </w:p>
        </w:tc>
      </w:tr>
    </w:tbl>
    <w:p>
      <w:pPr>
        <w:spacing w:after="80"/>
      </w:pPr>
    </w:p>
    <w:p>
      <w:pPr>
        <w:pStyle w:val="Heading2"/>
      </w:pPr>
      <w:r>
        <w:t xml:space="preserve">Lo que comparten los dos</w:t>
      </w:r>
    </w:p>
    <w:p>
      <w:pPr>
        <w:pStyle w:val="ListParagraph"/>
        <w:numPr>
          <w:ilvl w:val="0"/>
          <w:numId w:val="2"/>
        </w:numPr>
        <w:spacing w:after="60"/>
      </w:pPr>
      <w:r>
        <w:rPr>
          <w:b/>
          <w:bCs/>
        </w:rPr>
        <w:t xml:space="preserve">Palabra común:</w:t>
      </w:r>
      <w:r>
        <w:t xml:space="preserve"> "medido" (es la que repite el slogan).</w:t>
      </w:r>
    </w:p>
    <w:p>
      <w:pPr>
        <w:pStyle w:val="ListParagraph"/>
        <w:numPr>
          <w:ilvl w:val="0"/>
          <w:numId w:val="2"/>
        </w:numPr>
        <w:spacing w:after="60"/>
      </w:pPr>
      <w:r>
        <w:rPr>
          <w:b/>
          <w:bCs/>
        </w:rPr>
        <w:t xml:space="preserve">Imagen común:</w:t>
      </w:r>
      <w:r>
        <w:t xml:space="preserve"> la lonchera que regresa vacía.</w:t>
      </w:r>
    </w:p>
    <w:p>
      <w:pPr>
        <w:pStyle w:val="ListParagraph"/>
        <w:numPr>
          <w:ilvl w:val="0"/>
          <w:numId w:val="2"/>
        </w:numPr>
        <w:spacing w:after="60"/>
      </w:pPr>
      <w:r>
        <w:rPr>
          <w:b/>
          <w:bCs/>
        </w:rPr>
        <w:t xml:space="preserve">Emoción común:</w:t>
      </w:r>
      <w:r>
        <w:t xml:space="preserve"> alivio. Para A es el alivio de saber; para B, el de no tener que pensar.</w:t>
      </w:r>
    </w:p>
    <w:p>
      <w:pPr>
        <w:pStyle w:val="Heading2"/>
      </w:pPr>
      <w:r>
        <w:t xml:space="preserve">Lo que la marca nunca debe evocar</w:t>
      </w:r>
    </w:p>
    <w:p>
      <w:pPr>
        <w:pStyle w:val="ListParagraph"/>
        <w:numPr>
          <w:ilvl w:val="0"/>
          <w:numId w:val="2"/>
        </w:numPr>
        <w:spacing w:after="60"/>
      </w:pPr>
      <w:r>
        <w:t xml:space="preserve">Miedo o culpa ("tu hijo puede tener anemia").</w:t>
      </w:r>
    </w:p>
    <w:p>
      <w:pPr>
        <w:pStyle w:val="ListParagraph"/>
        <w:numPr>
          <w:ilvl w:val="0"/>
          <w:numId w:val="2"/>
        </w:numPr>
        <w:spacing w:after="60"/>
      </w:pPr>
      <w:r>
        <w:t xml:space="preserve">Enfermedad, hospital o agujas.</w:t>
      </w:r>
    </w:p>
    <w:p>
      <w:pPr>
        <w:pStyle w:val="ListParagraph"/>
        <w:numPr>
          <w:ilvl w:val="0"/>
          <w:numId w:val="2"/>
        </w:numPr>
        <w:spacing w:after="60"/>
      </w:pPr>
      <w:r>
        <w:t xml:space="preserve">"Superalimento", diminutivos o tono infantil.</w:t>
      </w:r>
    </w:p>
    <w:p>
      <w:pPr>
        <w:pStyle w:val="ListParagraph"/>
        <w:numPr>
          <w:ilvl w:val="0"/>
          <w:numId w:val="2"/>
        </w:numPr>
        <w:spacing w:after="60"/>
      </w:pPr>
      <w:r>
        <w:t xml:space="preserve">Un niño que le pide el producto a sus padres a cámara.</w:t>
      </w:r>
    </w:p>
    <w:p>
      <w:pPr>
        <w:pStyle w:val="Heading1"/>
      </w:pPr>
      <w:r>
        <w:t xml:space="preserve">Fuentes</w:t>
      </w:r>
    </w:p>
    <w:p>
      <w:pPr>
        <w:pStyle w:val="ListParagraph"/>
        <w:numPr>
          <w:ilvl w:val="0"/>
          <w:numId w:val="2"/>
        </w:numPr>
        <w:spacing w:after="60"/>
      </w:pPr>
      <w:r>
        <w:t xml:space="preserve">04-reformulacion/T2/HECHOS_v7.md (19-oct-2026): mensajes decididos y lo que no se dice.</w:t>
      </w:r>
    </w:p>
    <w:p>
      <w:pPr>
        <w:pStyle w:val="ListParagraph"/>
        <w:numPr>
          <w:ilvl w:val="0"/>
          <w:numId w:val="2"/>
        </w:numPr>
        <w:spacing w:after="60"/>
      </w:pPr>
      <w:r>
        <w:t xml:space="preserve">04-reformulacion/10-plan-de-marketing-2027.md, secciones 3.3 y 3.4.</w:t>
      </w:r>
    </w:p>
    <w:p>
      <w:pPr>
        <w:pStyle w:val="ListParagraph"/>
        <w:numPr>
          <w:ilvl w:val="0"/>
          <w:numId w:val="2"/>
        </w:numPr>
        <w:spacing w:after="60"/>
      </w:pPr>
      <w:r>
        <w:t xml:space="preserve">04-reformulacion/06-marca-2-0-e-innovacion.md, secciones 6 (tono y frases) y 7 (checklist legal); donde dice Hemi, léase AndiBite.</w:t>
      </w:r>
    </w:p>
    <w:p>
      <w:pPr>
        <w:pStyle w:val="ListParagraph"/>
        <w:numPr>
          <w:ilvl w:val="0"/>
          <w:numId w:val="2"/>
        </w:numPr>
        <w:spacing w:after="60"/>
      </w:pPr>
      <w:r>
        <w:t xml:space="preserve">04-reformulacion/T2/md/T2_10_Posicionamiento.md (territorio de marca y competidores).</w:t>
      </w:r>
    </w:p>
    <w:p>
      <w:pPr>
        <w:pStyle w:val="ListParagraph"/>
        <w:numPr>
          <w:ilvl w:val="0"/>
          <w:numId w:val="2"/>
        </w:numPr>
        <w:spacing w:after="60"/>
      </w:pPr>
      <w:r>
        <w:t xml:space="preserve">Material de clase: 04-reformulacion/T2/CLASE-sesion09.md (posicionamiento: palabras, imágenes y emociones).</w:t>
      </w:r>
    </w:p>
    <w:p>
      <w:pPr>
        <w:pStyle w:val="ListParagraph"/>
        <w:numPr>
          <w:ilvl w:val="0"/>
          <w:numId w:val="2"/>
        </w:numPr>
        <w:spacing w:after="60"/>
      </w:pPr>
      <w:r>
        <w:t xml:space="preserve">Congreso de la República. Decreto Legislativo 1044, Ley de Represión de la Competencia Desleal. https://www.leyes.congreso.gob.pe/Documentos/DecretosLegislativos/01044.pdf</w:t>
      </w:r>
    </w:p>
    <w:p>
      <w:pPr>
        <w:pStyle w:val="ListParagraph"/>
        <w:numPr>
          <w:ilvl w:val="0"/>
          <w:numId w:val="2"/>
        </w:numPr>
        <w:spacing w:after="60"/>
      </w:pPr>
      <w:r>
        <w:t xml:space="preserve">Congreso de la República. Ley 30021, de promoción de la alimentación saludable. https://www.leyes.congreso.gob.pe/Documentos/Leyes/30021.pdf</w:t>
      </w:r>
    </w:p>
    <w:p>
      <w:pPr>
        <w:pStyle w:val="ListParagraph"/>
        <w:numPr>
          <w:ilvl w:val="0"/>
          <w:numId w:val="2"/>
        </w:numPr>
        <w:spacing w:after="60"/>
      </w:pPr>
      <w:r>
        <w:t xml:space="preserve">Comunidad Andina. Decisión 486, Régimen Común sobre Propiedad Industrial (título sobre lemas comerciales). https://www.comunidadandina.org/StaticFiles/DocOf/DEC486.pdf</w:t>
      </w:r>
    </w:p>
    <w:p>
      <w:pPr>
        <w:pStyle w:val="ListParagraph"/>
        <w:numPr>
          <w:ilvl w:val="0"/>
          <w:numId w:val="2"/>
        </w:numPr>
        <w:spacing w:after="60"/>
      </w:pPr>
      <w:r>
        <w:t xml:space="preserve">Nutri H. Nutri H clásica x 30 (consulta del 19-oct-2026). https://nutrih.pe/producto/nutri-h-clasica-x-30/</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#11 Slogan y cómo queremos que nos recuerden</dc:title>
  <dc:creator>Grupo 2</dc:creator>
  <cp:lastModifiedBy>Un-named</cp:lastModifiedBy>
  <cp:revision>1</cp:revision>
  <dcterms:created xsi:type="dcterms:W3CDTF">2026-10-19T02:15:56.292Z</dcterms:created>
  <dcterms:modified xsi:type="dcterms:W3CDTF">2026-10-19T02:15:56.292Z</dcterms:modified>
</cp:coreProperties>
</file>

<file path=docProps/custom.xml><?xml version="1.0" encoding="utf-8"?>
<Properties xmlns="http://schemas.openxmlformats.org/officeDocument/2006/custom-properties" xmlns:vt="http://schemas.openxmlformats.org/officeDocument/2006/docPropsVTypes"/>
</file>