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pPr>
      <w:r>
        <w:drawing>
          <wp:inline distT="0" distB="0" distL="0" distR="0">
            <wp:extent cx="1428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85775"/>
                    </a:xfrm>
                    <a:prstGeom prst="rect">
                      <a:avLst/>
                    </a:prstGeom>
                  </pic:spPr>
                </pic:pic>
              </a:graphicData>
            </a:graphic>
          </wp:inline>
        </w:drawing>
      </w:r>
    </w:p>
    <w:p>
      <w:pPr>
        <w:pStyle w:val="Title"/>
        <w:spacing w:after="80"/>
      </w:pPr>
      <w:r>
        <w:rPr>
          <w:rFonts w:ascii="Calibri" w:cs="Calibri" w:eastAsia="Calibri" w:hAnsi="Calibri"/>
          <w:b/>
          <w:bCs/>
          <w:color w:val="4A2018"/>
          <w:sz w:val="40"/>
          <w:szCs w:val="40"/>
        </w:rPr>
        <w:t xml:space="preserve">T2 · #12 Manual de marca</w:t>
      </w:r>
    </w:p>
    <w:p>
      <w:pPr>
        <w:pBdr>
          <w:bottom w:val="single" w:color="BA4036" w:sz="8" w:space="6"/>
        </w:pBdr>
        <w:spacing w:after="120"/>
      </w:pPr>
      <w:r>
        <w:rPr>
          <w:i/>
          <w:iCs/>
          <w:color w:val="6B3A2A"/>
          <w:sz w:val="20"/>
          <w:szCs w:val="20"/>
        </w:rPr>
        <w:t xml:space="preserve">Responsable: Carlos Inga · Grupo 2 · AndiBite</w:t>
      </w:r>
    </w:p>
    <w:p>
      <w:pPr>
        <w:spacing w:after="120"/>
      </w:pPr>
      <w:r>
        <w:t xml:space="preserve">Este manual ordena la marca que ya existe: el logo de la TC5-8, los colores y la letra de HECHOS_v7, el empaque de </w:t>
      </w:r>
      <w:r>
        <w:rPr>
          <w:rFonts w:ascii="Consolas" w:cs="Consolas" w:eastAsia="Consolas" w:hAnsi="Consolas"/>
          <w:color w:val="4A2018"/>
          <w:sz w:val="19"/>
          <w:szCs w:val="19"/>
        </w:rPr>
        <w:t xml:space="preserve">assets/empaque/</w:t>
      </w:r>
      <w:r>
        <w:t xml:space="preserve">, el tono y las frases del documento 06 (donde decía "Hemi", aquí dice AndiBite) y la app "Andi, Misión Hierro" del documento 09. No crea una marca nueva. Las reglas nuevas que no salen de esos archivos van marcadas </w:t>
      </w:r>
      <w:r>
        <w:rPr>
          <w:b/>
          <w:bCs/>
        </w:rPr>
        <w:t xml:space="preserve">[PROPUESTA]</w:t>
      </w:r>
      <w:r>
        <w:t xml:space="preserve">.</w:t>
      </w:r>
    </w:p>
    <w:p>
      <w:pPr>
        <w:spacing w:after="120"/>
      </w:pPr>
      <w:r>
        <w:t xml:space="preserve">Siglas que usamos: </w:t>
      </w:r>
      <w:r>
        <w:rPr>
          <w:b/>
          <w:bCs/>
        </w:rPr>
        <w:t xml:space="preserve">ODS</w:t>
      </w:r>
      <w:r>
        <w:t xml:space="preserve">, Objetivos de Desarrollo Sostenible de la ONU. </w:t>
      </w:r>
      <w:r>
        <w:rPr>
          <w:b/>
          <w:bCs/>
        </w:rPr>
        <w:t xml:space="preserve">NSE</w:t>
      </w:r>
      <w:r>
        <w:t xml:space="preserve">, nivel socioeconómico. </w:t>
      </w:r>
      <w:r>
        <w:rPr>
          <w:b/>
          <w:bCs/>
        </w:rPr>
        <w:t xml:space="preserve">QR</w:t>
      </w:r>
      <w:r>
        <w:t xml:space="preserve">, código que se lee con la cámara del celular. </w:t>
      </w:r>
      <w:r>
        <w:rPr>
          <w:b/>
          <w:bCs/>
        </w:rPr>
        <w:t xml:space="preserve">POP</w:t>
      </w:r>
      <w:r>
        <w:t xml:space="preserve">, material en el punto de venta (carteles, habladores, banners). </w:t>
      </w:r>
      <w:r>
        <w:rPr>
          <w:b/>
          <w:bCs/>
        </w:rPr>
        <w:t xml:space="preserve">RGB</w:t>
      </w:r>
      <w:r>
        <w:t xml:space="preserve">, los valores de rojo, verde y azul de un color en pantalla. </w:t>
      </w:r>
      <w:r>
        <w:rPr>
          <w:b/>
          <w:bCs/>
        </w:rPr>
        <w:t xml:space="preserve">Hex</w:t>
      </w:r>
      <w:r>
        <w:t xml:space="preserve">, el mismo color escrito en código de seis caracteres. </w:t>
      </w:r>
      <w:r>
        <w:rPr>
          <w:b/>
          <w:bCs/>
        </w:rPr>
        <w:t xml:space="preserve">RS</w:t>
      </w:r>
      <w:r>
        <w:t xml:space="preserve">, Registro Sanitario. </w:t>
      </w:r>
      <w:r>
        <w:rPr>
          <w:b/>
          <w:bCs/>
        </w:rPr>
        <w:t xml:space="preserve">MYPE</w:t>
      </w:r>
      <w:r>
        <w:t xml:space="preserve">, micro y pequeña empresa. </w:t>
      </w:r>
      <w:r>
        <w:rPr>
          <w:b/>
          <w:bCs/>
        </w:rPr>
        <w:t xml:space="preserve">INDECOPI</w:t>
      </w:r>
      <w:r>
        <w:t xml:space="preserve">, Instituto Nacional de Defensa de la Competencia y de la Protección de la Propiedad Intelectual. </w:t>
      </w:r>
      <w:r>
        <w:rPr>
          <w:b/>
          <w:bCs/>
        </w:rPr>
        <w:t xml:space="preserve">MINSA</w:t>
      </w:r>
      <w:r>
        <w:t xml:space="preserve">, Ministerio de Salud. </w:t>
      </w:r>
      <w:r>
        <w:rPr>
          <w:b/>
          <w:bCs/>
        </w:rPr>
        <w:t xml:space="preserve">DIGESA</w:t>
      </w:r>
      <w:r>
        <w:t xml:space="preserve">, Dirección General de Salud Ambiental. </w:t>
      </w:r>
      <w:r>
        <w:rPr>
          <w:b/>
          <w:bCs/>
        </w:rPr>
        <w:t xml:space="preserve">ENDES</w:t>
      </w:r>
      <w:r>
        <w:t xml:space="preserve">, Encuesta Demográfica y de Salud Familiar del INEI (Instituto Nacional de Estadística e Informática). </w:t>
      </w:r>
      <w:r>
        <w:rPr>
          <w:b/>
          <w:bCs/>
        </w:rPr>
        <w:t xml:space="preserve">CNP</w:t>
      </w:r>
      <w:r>
        <w:t xml:space="preserve">, Colegio de Nutricionistas del Perú. </w:t>
      </w:r>
      <w:r>
        <w:rPr>
          <w:b/>
          <w:bCs/>
        </w:rPr>
        <w:t xml:space="preserve">IA</w:t>
      </w:r>
      <w:r>
        <w:t xml:space="preserve">, inteligencia artificial. </w:t>
      </w:r>
      <w:r>
        <w:rPr>
          <w:b/>
          <w:bCs/>
        </w:rPr>
        <w:t xml:space="preserve">IGV</w:t>
      </w:r>
      <w:r>
        <w:t xml:space="preserve">, impuesto general a las ventas (los precios al público lo incluyen). </w:t>
      </w:r>
      <w:r>
        <w:rPr>
          <w:b/>
          <w:bCs/>
        </w:rPr>
        <w:t xml:space="preserve">TC5-8</w:t>
      </w:r>
      <w:r>
        <w:t xml:space="preserve">, trabajos de campo 5 a 8 del curso. </w:t>
      </w:r>
      <w:r>
        <w:rPr>
          <w:b/>
          <w:bCs/>
        </w:rPr>
        <w:t xml:space="preserve">NTP</w:t>
      </w:r>
      <w:r>
        <w:t xml:space="preserve">, Norma Técnica Peruana. </w:t>
      </w:r>
      <w:r>
        <w:rPr>
          <w:b/>
          <w:bCs/>
        </w:rPr>
        <w:t xml:space="preserve">Codex</w:t>
      </w:r>
      <w:r>
        <w:t xml:space="preserve">, Codex Alimentarius, las normas de alimentos de la FAO y la OMS. </w:t>
      </w:r>
      <w:r>
        <w:rPr>
          <w:b/>
          <w:bCs/>
        </w:rPr>
        <w:t xml:space="preserve">D.S.</w:t>
      </w:r>
      <w:r>
        <w:t xml:space="preserve">, decreto supremo. </w:t>
      </w:r>
      <w:r>
        <w:rPr>
          <w:b/>
          <w:bCs/>
        </w:rPr>
        <w:t xml:space="preserve">D. Leg.</w:t>
      </w:r>
      <w:r>
        <w:t xml:space="preserve">, decreto legislativo. </w:t>
      </w:r>
      <w:r>
        <w:rPr>
          <w:b/>
          <w:bCs/>
        </w:rPr>
        <w:t xml:space="preserve">RM</w:t>
      </w:r>
      <w:r>
        <w:t xml:space="preserve">, resolución ministerial. </w:t>
      </w:r>
      <w:r>
        <w:rPr>
          <w:b/>
          <w:bCs/>
        </w:rPr>
        <w:t xml:space="preserve">PPT</w:t>
      </w:r>
      <w:r>
        <w:t xml:space="preserve">, presentación de PowerPoint. </w:t>
      </w:r>
      <w:r>
        <w:rPr>
          <w:b/>
          <w:bCs/>
        </w:rPr>
        <w:t xml:space="preserve">WCAG</w:t>
      </w:r>
      <w:r>
        <w:t xml:space="preserve">, pautas de accesibilidad web del W3C.</w:t>
      </w:r>
    </w:p>
    <w:p>
      <w:pPr>
        <w:pStyle w:val="Heading1"/>
      </w:pPr>
      <w:r>
        <w:t xml:space="preserve">1. Esencia de marca</w:t>
      </w:r>
    </w:p>
    <w:p>
      <w:pPr>
        <w:pStyle w:val="Heading2"/>
      </w:pPr>
      <w:r>
        <w:t xml:space="preserve">1.1 Qué es AndiBite</w:t>
      </w:r>
    </w:p>
    <w:p>
      <w:pPr>
        <w:spacing w:after="120"/>
      </w:pPr>
      <w:r>
        <w:t xml:space="preserve">Un mini brownie de 20 g con sangrecita de res en polvo liofilizada, que aporta hierro hemo (el tipo de hierro que el cuerpo aprovecha mejor). Tres sabores: Chispa, Andi y Lúcu. Se vende en stands de centros comerciales, ferias, eventos, colegios y tiendas naturistas, y se recompra por WhatsApp. El hierro de cada lote se mide en laboratorio y se publica en la app.</w:t>
      </w:r>
    </w:p>
    <w:p>
      <w:pPr>
        <w:pStyle w:val="Heading2"/>
      </w:pPr>
      <w:r>
        <w:t xml:space="preserve">1.2 Propósito, misión, visión y promesa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5506"/>
      </w:tblGrid>
      <w:tr>
        <w:trPr>
          <w:tblHeader/>
        </w:trPr>
        <w:tc>
          <w:tcPr>
            <w:tcW w:type="dxa" w:w="385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Elemento</w:t>
            </w:r>
          </w:p>
        </w:tc>
        <w:tc>
          <w:tcPr>
            <w:tcW w:type="dxa" w:w="550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Texto</w:t>
            </w:r>
          </w:p>
        </w:tc>
      </w:tr>
      <w:tr>
        <w:trPr>
          <w:tblHeader w:val="false"/>
        </w:trPr>
        <w:tc>
          <w:tcPr>
            <w:tcW w:type="dxa" w:w="38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Propósito</w:t>
            </w:r>
            <w:r>
              <w:rPr>
                <w:sz w:val="19"/>
                <w:szCs w:val="19"/>
              </w:rPr>
              <w:t xml:space="preserve"> (por qué existimos)</w:t>
            </w:r>
          </w:p>
        </w:tc>
        <w:tc>
          <w:tcPr>
            <w:tcW w:type="dxa" w:w="550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Que el hierro que un niño necesita llegue en algo que sí se come, y que su papá o su mamá pueda comprobarlo.</w:t>
            </w:r>
          </w:p>
        </w:tc>
      </w:tr>
      <w:tr>
        <w:trPr>
          <w:tblHeader w:val="false"/>
        </w:trPr>
        <w:tc>
          <w:tcPr>
            <w:tcW w:type="dxa" w:w="38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Misión</w:t>
            </w:r>
            <w:r>
              <w:rPr>
                <w:sz w:val="19"/>
                <w:szCs w:val="19"/>
              </w:rPr>
              <w:t xml:space="preserve"> (qué hacemos hoy)</w:t>
            </w:r>
          </w:p>
        </w:tc>
        <w:tc>
          <w:tcPr>
            <w:tcW w:type="dxa" w:w="550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Hacer mini brownies con sangrecita, con el hierro medido en laboratorio lote por lote, que los niños de 4 a 11 años comen con gusto y que los padres de Lima compran con confianza en nuestros stands, en sus colegios y por WhatsApp.</w:t>
            </w:r>
          </w:p>
        </w:tc>
      </w:tr>
      <w:tr>
        <w:trPr>
          <w:tblHeader w:val="false"/>
        </w:trPr>
        <w:tc>
          <w:tcPr>
            <w:tcW w:type="dxa" w:w="385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Visión</w:t>
            </w:r>
            <w:r>
              <w:rPr>
                <w:sz w:val="19"/>
                <w:szCs w:val="19"/>
              </w:rPr>
              <w:t xml:space="preserve"> (adónde vamos)</w:t>
            </w:r>
          </w:p>
        </w:tc>
        <w:tc>
          <w:tcPr>
            <w:tcW w:type="dxa" w:w="550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Ser, en 2028, el snack de lonchera con hierro medido que los padres A y B de Lima eligen y recomiendan a otros padres.</w:t>
            </w:r>
          </w:p>
        </w:tc>
      </w:tr>
      <w:tr>
        <w:trPr>
          <w:tblHeader w:val="false"/>
        </w:trPr>
        <w:tc>
          <w:tcPr>
            <w:tcW w:type="dxa" w:w="385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Promesa</w:t>
            </w:r>
            <w:r>
              <w:rPr>
                <w:sz w:val="19"/>
                <w:szCs w:val="19"/>
              </w:rPr>
              <w:t xml:space="preserve"> (lo que el cliente recibe siempre)</w:t>
            </w:r>
          </w:p>
        </w:tc>
        <w:tc>
          <w:tcPr>
            <w:tcW w:type="dxa" w:w="550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Tu hijo ve un brownie que le gusta. Tú ves el hierro medido de su lote.</w:t>
            </w:r>
          </w:p>
        </w:tc>
      </w:tr>
    </w:tbl>
    <w:p>
      <w:pPr>
        <w:spacing w:after="80"/>
      </w:pPr>
    </w:p>
    <w:p>
      <w:pPr>
        <w:spacing w:after="120"/>
      </w:pPr>
      <w:r>
        <w:t xml:space="preserve">La promesa depende del laboratorio. El cálculo da unos 1.9 mg de hierro por brownie, pero se hizo con sangrecita cocida y está </w:t>
      </w:r>
      <w:r>
        <w:rPr>
          <w:b/>
          <w:bCs/>
        </w:rPr>
        <w:t xml:space="preserve">[POR CONFIRMAR en laboratorio]</w:t>
      </w:r>
      <w:r>
        <w:t xml:space="preserve">. Hasta tener el informe, ninguna pieza muestra una cifra de hierro.</w:t>
      </w:r>
    </w:p>
    <w:p>
      <w:pPr>
        <w:pStyle w:val="Heading2"/>
      </w:pPr>
      <w:r>
        <w:t xml:space="preserve">1.3 Valores</w:t>
      </w:r>
    </w:p>
    <w:p>
      <w:pPr>
        <w:pStyle w:val="ListParagraph"/>
        <w:numPr>
          <w:ilvl w:val="0"/>
          <w:numId w:val="2"/>
        </w:numPr>
        <w:spacing w:after="60"/>
      </w:pPr>
      <w:r>
        <w:rPr>
          <w:b/>
          <w:bCs/>
        </w:rPr>
        <w:t xml:space="preserve">Medimos.</w:t>
      </w:r>
      <w:r>
        <w:t xml:space="preserve"> Cada lote se analiza y el resultado se publica. De enero a junio de 2027 se mide cada lote; desde julio, cada 2 meses.</w:t>
      </w:r>
    </w:p>
    <w:p>
      <w:pPr>
        <w:pStyle w:val="ListParagraph"/>
        <w:numPr>
          <w:ilvl w:val="0"/>
          <w:numId w:val="2"/>
        </w:numPr>
        <w:spacing w:after="60"/>
      </w:pPr>
      <w:r>
        <w:rPr>
          <w:b/>
          <w:bCs/>
        </w:rPr>
        <w:t xml:space="preserve">Decimos la verdad.</w:t>
      </w:r>
      <w:r>
        <w:t xml:space="preserve"> Contamos que tiene sangrecita y mostramos el octógono si el análisis lo exige. La meta "sin octógono" se comunica como meta, no como hecho.</w:t>
      </w:r>
    </w:p>
    <w:p>
      <w:pPr>
        <w:pStyle w:val="ListParagraph"/>
        <w:numPr>
          <w:ilvl w:val="0"/>
          <w:numId w:val="2"/>
        </w:numPr>
        <w:spacing w:after="60"/>
      </w:pPr>
      <w:r>
        <w:rPr>
          <w:b/>
          <w:bCs/>
        </w:rPr>
        <w:t xml:space="preserve">El sabor manda.</w:t>
      </w:r>
      <w:r>
        <w:t xml:space="preserve"> En las entrevistas y en el focus 1 quedó claro: sin la prueba del niño no hay compra.</w:t>
      </w:r>
    </w:p>
    <w:p>
      <w:pPr>
        <w:pStyle w:val="ListParagraph"/>
        <w:numPr>
          <w:ilvl w:val="0"/>
          <w:numId w:val="2"/>
        </w:numPr>
        <w:spacing w:after="60"/>
      </w:pPr>
      <w:r>
        <w:rPr>
          <w:b/>
          <w:bCs/>
        </w:rPr>
        <w:t xml:space="preserve">Raíz peruana.</w:t>
      </w:r>
      <w:r>
        <w:t xml:space="preserve"> Cacao, cañihua, lúcuma y sangrecita, sin folclor de souvenir.</w:t>
      </w:r>
    </w:p>
    <w:p>
      <w:pPr>
        <w:pStyle w:val="ListParagraph"/>
        <w:numPr>
          <w:ilvl w:val="0"/>
          <w:numId w:val="2"/>
        </w:numPr>
        <w:spacing w:after="60"/>
      </w:pPr>
      <w:r>
        <w:rPr>
          <w:b/>
          <w:bCs/>
        </w:rPr>
        <w:t xml:space="preserve">Le hablamos al adulto.</w:t>
      </w:r>
      <w:r>
        <w:t xml:space="preserve"> No le vendemos al niño (Ley 30021). El niño juega y aprende en la app, sin compras.</w:t>
      </w:r>
    </w:p>
    <w:p>
      <w:pPr>
        <w:pStyle w:val="ListParagraph"/>
        <w:numPr>
          <w:ilvl w:val="0"/>
          <w:numId w:val="2"/>
        </w:numPr>
        <w:spacing w:after="60"/>
      </w:pPr>
      <w:r>
        <w:rPr>
          <w:b/>
          <w:bCs/>
        </w:rPr>
        <w:t xml:space="preserve">Trabajo formal.</w:t>
      </w:r>
      <w:r>
        <w:t xml:space="preserve"> Todo el personal cobra: vendedores a S/90 por día y coordinadora en planilla.</w:t>
      </w:r>
    </w:p>
    <w:p>
      <w:pPr>
        <w:pStyle w:val="Heading2"/>
      </w:pPr>
      <w:r>
        <w:t xml:space="preserve">1.4 Personalidad</w:t>
      </w:r>
    </w:p>
    <w:p>
      <w:pPr>
        <w:spacing w:after="120"/>
      </w:pPr>
      <w:r>
        <w:t xml:space="preserve">AndiBite habla como </w:t>
      </w:r>
      <w:r>
        <w:rPr>
          <w:b/>
          <w:bCs/>
        </w:rPr>
        <w:t xml:space="preserve">una nutricionista amiga que además es mamá</w:t>
      </w:r>
      <w:r>
        <w:t xml:space="preserve">: precisa, tranquila, nunca alarmista, con humor seco (documento 06, sección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23"/>
        <w:gridCol w:w="4937"/>
      </w:tblGrid>
      <w:tr>
        <w:trPr>
          <w:tblHeader/>
        </w:trPr>
        <w:tc>
          <w:tcPr>
            <w:tcW w:type="dxa" w:w="442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AndiBite es</w:t>
            </w:r>
          </w:p>
        </w:tc>
        <w:tc>
          <w:tcPr>
            <w:tcW w:type="dxa" w:w="493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AndiBite no es</w:t>
            </w:r>
          </w:p>
        </w:tc>
      </w:tr>
      <w:tr>
        <w:trPr>
          <w:tblHeader w:val="false"/>
        </w:trPr>
        <w:tc>
          <w:tcPr>
            <w:tcW w:type="dxa" w:w="44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Precisa: da el dato, el lote y la fecha</w:t>
            </w:r>
          </w:p>
        </w:tc>
        <w:tc>
          <w:tcPr>
            <w:tcW w:type="dxa" w:w="49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Técnica y fría como un laboratorio</w:t>
            </w:r>
          </w:p>
        </w:tc>
      </w:tr>
      <w:tr>
        <w:trPr>
          <w:tblHeader w:val="false"/>
        </w:trPr>
        <w:tc>
          <w:tcPr>
            <w:tcW w:type="dxa" w:w="44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Serena: no asusta con la anemia</w:t>
            </w:r>
          </w:p>
        </w:tc>
        <w:tc>
          <w:tcPr>
            <w:tcW w:type="dxa" w:w="493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Alarmista ni culpabilizadora con los padres</w:t>
            </w:r>
          </w:p>
        </w:tc>
      </w:tr>
      <w:tr>
        <w:trPr>
          <w:tblHeader w:val="false"/>
        </w:trPr>
        <w:tc>
          <w:tcPr>
            <w:tcW w:type="dxa" w:w="44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Cómplice: entiende la mañana apurada</w:t>
            </w:r>
          </w:p>
        </w:tc>
        <w:tc>
          <w:tcPr>
            <w:tcW w:type="dxa" w:w="49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Infantil, con diminutivos y mascotas para vender</w:t>
            </w:r>
          </w:p>
        </w:tc>
      </w:tr>
      <w:tr>
        <w:trPr>
          <w:tblHeader w:val="false"/>
        </w:trPr>
        <w:tc>
          <w:tcPr>
            <w:tcW w:type="dxa" w:w="44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Honesta: cuenta la sangrecita y el octógono</w:t>
            </w:r>
          </w:p>
        </w:tc>
        <w:tc>
          <w:tcPr>
            <w:tcW w:type="dxa" w:w="493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Milagrosa: no promete curar ni prevenir</w:t>
            </w:r>
          </w:p>
        </w:tc>
      </w:tr>
      <w:tr>
        <w:trPr>
          <w:tblHeader w:val="false"/>
        </w:trPr>
        <w:tc>
          <w:tcPr>
            <w:tcW w:type="dxa" w:w="44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Peruana y actual</w:t>
            </w:r>
          </w:p>
        </w:tc>
        <w:tc>
          <w:tcPr>
            <w:tcW w:type="dxa" w:w="49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Folclórica, turística ni "programa social"</w:t>
            </w:r>
          </w:p>
        </w:tc>
      </w:tr>
    </w:tbl>
    <w:p>
      <w:pPr>
        <w:spacing w:after="80"/>
      </w:pPr>
    </w:p>
    <w:p>
      <w:pPr>
        <w:spacing w:after="120"/>
      </w:pPr>
      <w:r>
        <w:rPr>
          <w:b/>
          <w:bCs/>
        </w:rPr>
        <w:t xml:space="preserve">Arquetipo de marca [PROPUESTA]:</w:t>
      </w:r>
      <w:r>
        <w:t xml:space="preserve"> el Cuidador, con rasgos del Sabio. Cuida como un padre y explica con datos. Sirve como filtro: si una pieza no cuida ni explica, no es AndiBite.</w:t>
      </w:r>
    </w:p>
    <w:p>
      <w:pPr>
        <w:pStyle w:val="Heading2"/>
      </w:pPr>
      <w:r>
        <w:t xml:space="preserve">1.5 ODS al que contribuye</w:t>
      </w:r>
    </w:p>
    <w:p>
      <w:pPr>
        <w:pStyle w:val="ListParagraph"/>
        <w:numPr>
          <w:ilvl w:val="0"/>
          <w:numId w:val="3"/>
        </w:numPr>
        <w:spacing w:after="60"/>
      </w:pPr>
      <w:r>
        <w:rPr>
          <w:b/>
          <w:bCs/>
        </w:rPr>
        <w:t xml:space="preserve">ODS 2 Hambre cero, meta 2.2:</w:t>
      </w:r>
      <w:r>
        <w:t xml:space="preserve"> "para 2030, poner fin a todas las formas de malnutrición". AndiBite contribuye con un alimento con hierro hemo que el niño acepta, con el hierro medido y publicado, y con educación sobre el hierro en la app.</w:t>
      </w:r>
    </w:p>
    <w:p>
      <w:pPr>
        <w:pStyle w:val="ListParagraph"/>
        <w:numPr>
          <w:ilvl w:val="0"/>
          <w:numId w:val="3"/>
        </w:numPr>
        <w:spacing w:after="60"/>
      </w:pPr>
      <w:r>
        <w:rPr>
          <w:b/>
          <w:bCs/>
        </w:rPr>
        <w:t xml:space="preserve">Por qué importa en Lima:</w:t>
      </w:r>
      <w:r>
        <w:t xml:space="preserve"> la anemia en niños de 6 a 35 meses de Lima Metropolitana fue 24.0 % (ENDES 2024, criterio OMS 2024) y en el Perú 34.9 % (ENDES 2025). En escolares de 5 a 11 años de Lima atendidos por el MINSA fue 22.5 % (documento 04).</w:t>
      </w:r>
    </w:p>
    <w:p>
      <w:pPr>
        <w:pStyle w:val="ListParagraph"/>
        <w:numPr>
          <w:ilvl w:val="0"/>
          <w:numId w:val="3"/>
        </w:numPr>
        <w:spacing w:after="60"/>
      </w:pPr>
      <w:r>
        <w:rPr>
          <w:b/>
          <w:bCs/>
        </w:rPr>
        <w:t xml:space="preserve">Indicador:</w:t>
      </w:r>
      <w:r>
        <w:t xml:space="preserve"> la ONU mide la anemia con el indicador 2.2.3, que se calcula en mujeres de 15 a 49 años. En niños, el Perú la mide con la ENDES. Por eso decimos que "contribuimos a la meta 2.2", no que movemos el indicador.</w:t>
      </w:r>
    </w:p>
    <w:p>
      <w:pPr>
        <w:pStyle w:val="ListParagraph"/>
        <w:numPr>
          <w:ilvl w:val="0"/>
          <w:numId w:val="3"/>
        </w:numPr>
        <w:spacing w:after="60"/>
      </w:pPr>
      <w:r>
        <w:rPr>
          <w:b/>
          <w:bCs/>
        </w:rPr>
        <w:t xml:space="preserve">Complementarios:</w:t>
      </w:r>
      <w:r>
        <w:t xml:space="preserve"> ODS 3 Salud y bienestar (meta de menos azúcar: de 4.6 a 7.1 g por 100 g con la receta reformulada, por confirmar en laboratorio; recordatorio del control de hemoglobina y educación en la app) y ODS 8 Trabajo decente (empresa formal con todo el personal pagado).</w:t>
      </w:r>
    </w:p>
    <w:p>
      <w:pPr>
        <w:pStyle w:val="ListParagraph"/>
        <w:numPr>
          <w:ilvl w:val="0"/>
          <w:numId w:val="3"/>
        </w:numPr>
        <w:spacing w:after="60"/>
      </w:pPr>
      <w:r>
        <w:rPr>
          <w:b/>
          <w:bCs/>
        </w:rPr>
        <w:t xml:space="preserve">Cómo se dice:</w:t>
      </w:r>
      <w:r>
        <w:t xml:space="preserve"> "AndiBite contribuye a la meta 2.2 del ODS 2". Nunca "AndiBite acaba con la anemia".</w:t>
      </w:r>
    </w:p>
    <w:p>
      <w:pPr>
        <w:pStyle w:val="Heading1"/>
      </w:pPr>
      <w:r>
        <w:t xml:space="preserve">2. Logotipo</w:t>
      </w:r>
    </w:p>
    <w:p>
      <w:pPr>
        <w:pStyle w:val="Heading2"/>
      </w:pPr>
      <w:r>
        <w:t xml:space="preserve">2.1 Cómo es</w:t>
      </w:r>
    </w:p>
    <w:p>
      <w:pPr>
        <w:spacing w:after="120"/>
      </w:pPr>
      <w:r>
        <w:t xml:space="preserve">El logo tiene dos partes que siempre van juntas.</w:t>
      </w:r>
    </w:p>
    <w:p>
      <w:pPr>
        <w:pStyle w:val="ListParagraph"/>
        <w:numPr>
          <w:ilvl w:val="0"/>
          <w:numId w:val="3"/>
        </w:numPr>
        <w:spacing w:after="60"/>
      </w:pPr>
      <w:r>
        <w:rPr>
          <w:b/>
          <w:bCs/>
        </w:rPr>
        <w:t xml:space="preserve">Isotipo (las montañas):</w:t>
      </w:r>
      <w:r>
        <w:t xml:space="preserve"> tres picos andinos dibujados solo con una línea gruesa café oscuro, sin relleno. El pico del centro es el más alto y tiene una mancha de nieve en gris piedra, como un nevado. Los picos laterales son más bajos y quedan uno a cada lado. Las montañas se apoyan sobre el centro de la palabra, encima de las letras "diB". Cuentan el origen andino de los ingredientes.</w:t>
      </w:r>
    </w:p>
    <w:p>
      <w:pPr>
        <w:pStyle w:val="ListParagraph"/>
        <w:numPr>
          <w:ilvl w:val="0"/>
          <w:numId w:val="3"/>
        </w:numPr>
        <w:spacing w:after="60"/>
      </w:pPr>
      <w:r>
        <w:rPr>
          <w:b/>
          <w:bCs/>
        </w:rPr>
        <w:t xml:space="preserve">Logotipo (la palabra):</w:t>
      </w:r>
      <w:r>
        <w:t xml:space="preserve"> "AndiBite" en una sola palabra, con letra sin remates, gruesa y de puntas redondeadas (es la misma familia que Fredoka One, que usa el empaque). "Andi" va en café cacao (5C301E) y habla de los Andes. "Bite" va en rojo ladrillo (BA4036) y significa "mordida" en inglés. La "A" y la "B" van en mayúscula y la "B" es la letra más alta del rojo. El cambio de color marca las dos ideas de la marca: origen y bocado.</w:t>
      </w:r>
    </w:p>
    <w:p>
      <w:pPr>
        <w:pStyle w:val="ListParagraph"/>
        <w:numPr>
          <w:ilvl w:val="0"/>
          <w:numId w:val="3"/>
        </w:numPr>
        <w:spacing w:after="60"/>
      </w:pPr>
      <w:r>
        <w:rPr>
          <w:b/>
          <w:bCs/>
        </w:rPr>
        <w:t xml:space="preserve">Archivos:</w:t>
      </w:r>
      <w:r>
        <w:t xml:space="preserve"> </w:t>
      </w:r>
      <w:r>
        <w:rPr>
          <w:rFonts w:ascii="Consolas" w:cs="Consolas" w:eastAsia="Consolas" w:hAnsi="Consolas"/>
          <w:color w:val="4A2018"/>
          <w:sz w:val="19"/>
          <w:szCs w:val="19"/>
        </w:rPr>
        <w:t xml:space="preserve">04-reformulacion/TC5-8/fuente/img/logo_color.png</w:t>
      </w:r>
      <w:r>
        <w:t xml:space="preserve"> y </w:t>
      </w:r>
      <w:r>
        <w:rPr>
          <w:rFonts w:ascii="Consolas" w:cs="Consolas" w:eastAsia="Consolas" w:hAnsi="Consolas"/>
          <w:color w:val="4A2018"/>
          <w:sz w:val="19"/>
          <w:szCs w:val="19"/>
        </w:rPr>
        <w:t xml:space="preserve">logo_light.png</w:t>
      </w:r>
      <w:r>
        <w:t xml:space="preserve">, de 1108 x 379 píxeles con fondo transparente. La proporción es de 2.9 a 1: el logo es unas tres veces más ancho que alto.</w:t>
      </w:r>
    </w:p>
    <w:p>
      <w:pPr>
        <w:pStyle w:val="Heading2"/>
      </w:pPr>
      <w:r>
        <w:t xml:space="preserve">2.2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31"/>
        <w:gridCol w:w="1080"/>
        <w:gridCol w:w="3403"/>
        <w:gridCol w:w="3346"/>
      </w:tblGrid>
      <w:tr>
        <w:trPr>
          <w:tblHeader/>
        </w:trPr>
        <w:tc>
          <w:tcPr>
            <w:tcW w:type="dxa" w:w="153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Versión</w:t>
            </w:r>
          </w:p>
        </w:tc>
        <w:tc>
          <w:tcPr>
            <w:tcW w:type="dxa" w:w="108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Archivo</w:t>
            </w:r>
          </w:p>
        </w:tc>
        <w:tc>
          <w:tcPr>
            <w:tcW w:type="dxa" w:w="340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Colores</w:t>
            </w:r>
          </w:p>
        </w:tc>
        <w:tc>
          <w:tcPr>
            <w:tcW w:type="dxa" w:w="334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Fondo permitido</w:t>
            </w:r>
          </w:p>
        </w:tc>
      </w:tr>
      <w:tr>
        <w:trPr>
          <w:tblHeader w:val="false"/>
        </w:trPr>
        <w:tc>
          <w:tcPr>
            <w:tcW w:type="dxa" w:w="153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Color</w:t>
            </w:r>
            <w:r>
              <w:rPr>
                <w:sz w:val="19"/>
                <w:szCs w:val="19"/>
              </w:rPr>
              <w:t xml:space="preserve"> (principal)</w:t>
            </w:r>
          </w:p>
        </w:tc>
        <w:tc>
          <w:tcPr>
            <w:tcW w:type="dxa" w:w="10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rFonts w:ascii="Consolas" w:cs="Consolas" w:eastAsia="Consolas" w:hAnsi="Consolas"/>
                <w:color w:val="4A2018"/>
                <w:sz w:val="19"/>
                <w:szCs w:val="19"/>
              </w:rPr>
              <w:t xml:space="preserve">logo_color.png</w:t>
            </w:r>
          </w:p>
        </w:tc>
        <w:tc>
          <w:tcPr>
            <w:tcW w:type="dxa" w:w="340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Montañas café oscuro con nieve gris piedra; "Andi" café cacao 5C301E; "Bite" rojo ladrillo BA4036</w:t>
            </w:r>
          </w:p>
        </w:tc>
        <w:tc>
          <w:tcPr>
            <w:tcW w:type="dxa" w:w="334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Crema FBF3E8, blanco, kraft E8CDB3 y arena D9B48F</w:t>
            </w:r>
          </w:p>
        </w:tc>
      </w:tr>
      <w:tr>
        <w:trPr>
          <w:tblHeader w:val="false"/>
        </w:trPr>
        <w:tc>
          <w:tcPr>
            <w:tcW w:type="dxa" w:w="153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Clara</w:t>
            </w:r>
            <w:r>
              <w:rPr>
                <w:sz w:val="19"/>
                <w:szCs w:val="19"/>
              </w:rPr>
              <w:t xml:space="preserve"> (para fondos oscuros)</w:t>
            </w:r>
          </w:p>
        </w:tc>
        <w:tc>
          <w:tcPr>
            <w:tcW w:type="dxa" w:w="10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rFonts w:ascii="Consolas" w:cs="Consolas" w:eastAsia="Consolas" w:hAnsi="Consolas"/>
                <w:color w:val="4A2018"/>
                <w:sz w:val="19"/>
                <w:szCs w:val="19"/>
              </w:rPr>
              <w:t xml:space="preserve">logo_light.png</w:t>
            </w:r>
          </w:p>
        </w:tc>
        <w:tc>
          <w:tcPr>
            <w:tcW w:type="dxa" w:w="340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Montañas y "Andi" en crema FBF3E8; "Bite" se mantiene en rojo ladrillo BA4036</w:t>
            </w:r>
          </w:p>
        </w:tc>
        <w:tc>
          <w:tcPr>
            <w:tcW w:type="dxa" w:w="334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Café oscuro 4A2018 o texto 3B1A14; banda del empaque 5A2421</w:t>
            </w:r>
          </w:p>
        </w:tc>
      </w:tr>
      <w:tr>
        <w:trPr>
          <w:tblHeader w:val="false"/>
        </w:trPr>
        <w:tc>
          <w:tcPr>
            <w:tcW w:type="dxa" w:w="153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Una tinta [PROPUESTA]</w:t>
            </w:r>
          </w:p>
        </w:tc>
        <w:tc>
          <w:tcPr>
            <w:tcW w:type="dxa" w:w="10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Por crear</w:t>
            </w:r>
          </w:p>
        </w:tc>
        <w:tc>
          <w:tcPr>
            <w:tcW w:type="dxa" w:w="340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Todo en café oscuro 4A2018, o todo en crema sobre café</w:t>
            </w:r>
          </w:p>
        </w:tc>
        <w:tc>
          <w:tcPr>
            <w:tcW w:type="dxa" w:w="334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Sellos, fotocheck, grabados, impresión en un solo color</w:t>
            </w:r>
          </w:p>
        </w:tc>
      </w:tr>
    </w:tbl>
    <w:p>
      <w:pPr>
        <w:spacing w:after="80"/>
      </w:pPr>
    </w:p>
    <w:p>
      <w:pPr>
        <w:spacing w:after="120"/>
      </w:pPr>
      <w:r>
        <w:t xml:space="preserve">La versión clara no va sobre el vino 8A1C2B ni sobre el rojo ladrillo, porque "Bite" se pierde.</w:t>
      </w:r>
    </w:p>
    <w:p>
      <w:pPr>
        <w:pStyle w:val="Heading2"/>
      </w:pPr>
      <w:r>
        <w:t xml:space="preserve">2.3 Área de protección y tamaño mínimo</w:t>
      </w:r>
    </w:p>
    <w:p>
      <w:pPr>
        <w:pStyle w:val="ListParagraph"/>
        <w:numPr>
          <w:ilvl w:val="0"/>
          <w:numId w:val="3"/>
        </w:numPr>
        <w:spacing w:after="60"/>
      </w:pPr>
      <w:r>
        <w:rPr>
          <w:b/>
          <w:bCs/>
        </w:rPr>
        <w:t xml:space="preserve">Área de protección [PROPUESTA]:</w:t>
      </w:r>
      <w:r>
        <w:t xml:space="preserve"> alrededor del logo se deja libre un margen igual al alto de la letra "n" de "Andi" (más o menos un tercio del alto total del logo). En ese espacio no entra texto, borde ni foto.</w:t>
      </w:r>
    </w:p>
    <w:p>
      <w:pPr>
        <w:pStyle w:val="ListParagraph"/>
        <w:numPr>
          <w:ilvl w:val="0"/>
          <w:numId w:val="3"/>
        </w:numPr>
        <w:spacing w:after="60"/>
      </w:pPr>
      <w:r>
        <w:rPr>
          <w:b/>
          <w:bCs/>
        </w:rPr>
        <w:t xml:space="preserve">Tamaño mínimo:</w:t>
      </w:r>
    </w:p>
    <w:p>
      <w:pPr>
        <w:pStyle w:val="ListParagraph"/>
        <w:numPr>
          <w:ilvl w:val="1"/>
          <w:numId w:val="3"/>
        </w:numPr>
        <w:spacing w:after="60"/>
      </w:pPr>
      <w:r>
        <w:t xml:space="preserve">En pantalla y en diapositivas: 2.4 cm de ancho, que es el tamaño del logo en el pie de la plantilla (0.95 pulgadas).</w:t>
      </w:r>
    </w:p>
    <w:p>
      <w:pPr>
        <w:pStyle w:val="ListParagraph"/>
        <w:numPr>
          <w:ilvl w:val="1"/>
          <w:numId w:val="3"/>
        </w:numPr>
        <w:spacing w:after="60"/>
      </w:pPr>
      <w:r>
        <w:t xml:space="preserve">Impreso </w:t>
      </w:r>
      <w:r>
        <w:rPr>
          <w:b/>
          <w:bCs/>
        </w:rPr>
        <w:t xml:space="preserve">[PROPUESTA]:</w:t>
      </w:r>
      <w:r>
        <w:t xml:space="preserve"> 2.5 cm de ancho, para que la nieve de la montaña y el corte entre "Andi" y "Bite" se lean en el sobre individual y en los habladores.</w:t>
      </w:r>
    </w:p>
    <w:p>
      <w:pPr>
        <w:pStyle w:val="ListParagraph"/>
        <w:numPr>
          <w:ilvl w:val="1"/>
          <w:numId w:val="3"/>
        </w:numPr>
        <w:spacing w:after="60"/>
      </w:pPr>
      <w:r>
        <w:t xml:space="preserve">En redes y web </w:t>
      </w:r>
      <w:r>
        <w:rPr>
          <w:b/>
          <w:bCs/>
        </w:rPr>
        <w:t xml:space="preserve">[PROPUESTA]:</w:t>
      </w:r>
      <w:r>
        <w:t xml:space="preserve"> 150 píxeles de ancho como mínimo.</w:t>
      </w:r>
    </w:p>
    <w:p>
      <w:pPr>
        <w:pStyle w:val="ListParagraph"/>
        <w:numPr>
          <w:ilvl w:val="0"/>
          <w:numId w:val="3"/>
        </w:numPr>
        <w:spacing w:after="60"/>
      </w:pPr>
      <w:r>
        <w:rPr>
          <w:b/>
          <w:bCs/>
        </w:rPr>
        <w:t xml:space="preserve">Ubicación:</w:t>
      </w:r>
      <w:r>
        <w:t xml:space="preserve"> en el empaque, centrado arriba del nombre del producto. En las diapositivas de contenido, abajo a la derecha. En el stand, en la parte alta del banner, donde se vea por encima de la gente.</w:t>
      </w:r>
    </w:p>
    <w:p>
      <w:pPr>
        <w:pStyle w:val="Heading2"/>
      </w:pPr>
      <w:r>
        <w:t xml:space="preserve">2.4 Usos incorrectos</w:t>
      </w:r>
    </w:p>
    <w:p>
      <w:pPr>
        <w:pStyle w:val="ListParagraph"/>
        <w:numPr>
          <w:ilvl w:val="0"/>
          <w:numId w:val="4"/>
        </w:numPr>
        <w:spacing w:after="60"/>
      </w:pPr>
      <w:r>
        <w:t xml:space="preserve">Escribir mal el nombre: "AndyBites", "Andi Bite", "Andibite", "ANDIBITE". Siempre </w:t>
      </w:r>
      <w:r>
        <w:rPr>
          <w:b/>
          <w:bCs/>
        </w:rPr>
        <w:t xml:space="preserve">AndiBite</w:t>
      </w:r>
      <w:r>
        <w:t xml:space="preserve">, una palabra, con A y B mayúsculas. El documento 06 ya advirtió que esta inconsistencia complica el registro y las búsquedas.</w:t>
      </w:r>
    </w:p>
    <w:p>
      <w:pPr>
        <w:pStyle w:val="ListParagraph"/>
        <w:numPr>
          <w:ilvl w:val="0"/>
          <w:numId w:val="4"/>
        </w:numPr>
        <w:spacing w:after="60"/>
      </w:pPr>
      <w:r>
        <w:t xml:space="preserve">Cambiar los colores o invertir "Andi" y "Bite".</w:t>
      </w:r>
    </w:p>
    <w:p>
      <w:pPr>
        <w:pStyle w:val="ListParagraph"/>
        <w:numPr>
          <w:ilvl w:val="0"/>
          <w:numId w:val="4"/>
        </w:numPr>
        <w:spacing w:after="60"/>
      </w:pPr>
      <w:r>
        <w:t xml:space="preserve">Estirar, aplastar, inclinar o rotar el logo.</w:t>
      </w:r>
    </w:p>
    <w:p>
      <w:pPr>
        <w:pStyle w:val="ListParagraph"/>
        <w:numPr>
          <w:ilvl w:val="0"/>
          <w:numId w:val="4"/>
        </w:numPr>
        <w:spacing w:after="60"/>
      </w:pPr>
      <w:r>
        <w:t xml:space="preserve">Separar las montañas de la palabra o moverlas de lugar.</w:t>
      </w:r>
    </w:p>
    <w:p>
      <w:pPr>
        <w:pStyle w:val="ListParagraph"/>
        <w:numPr>
          <w:ilvl w:val="0"/>
          <w:numId w:val="4"/>
        </w:numPr>
        <w:spacing w:after="60"/>
      </w:pPr>
      <w:r>
        <w:t xml:space="preserve">Volver a escribir "AndiBite" con otra letra (Calibri, Arial u otra). El logo es un dibujo y se usa solo desde los archivos PNG.</w:t>
      </w:r>
    </w:p>
    <w:p>
      <w:pPr>
        <w:pStyle w:val="ListParagraph"/>
        <w:numPr>
          <w:ilvl w:val="0"/>
          <w:numId w:val="4"/>
        </w:numPr>
        <w:spacing w:after="60"/>
      </w:pPr>
      <w:r>
        <w:t xml:space="preserve">Agregar sombras, brillos, contornos o efectos 3D.</w:t>
      </w:r>
    </w:p>
    <w:p>
      <w:pPr>
        <w:pStyle w:val="ListParagraph"/>
        <w:numPr>
          <w:ilvl w:val="0"/>
          <w:numId w:val="4"/>
        </w:numPr>
        <w:spacing w:after="60"/>
      </w:pPr>
      <w:r>
        <w:t xml:space="preserve">Ponerlo sobre una foto con muchos detalles sin una caja crema o café detrás.</w:t>
      </w:r>
    </w:p>
    <w:p>
      <w:pPr>
        <w:pStyle w:val="ListParagraph"/>
        <w:numPr>
          <w:ilvl w:val="0"/>
          <w:numId w:val="4"/>
        </w:numPr>
        <w:spacing w:after="60"/>
      </w:pPr>
      <w:r>
        <w:t xml:space="preserve">Poner a Andi, la llamita, junto al logo en piezas de venta (ver sección 7).</w:t>
      </w:r>
    </w:p>
    <w:p>
      <w:pPr>
        <w:pStyle w:val="ListParagraph"/>
        <w:numPr>
          <w:ilvl w:val="0"/>
          <w:numId w:val="4"/>
        </w:numPr>
        <w:spacing w:after="60"/>
      </w:pPr>
      <w:r>
        <w:t xml:space="preserve">Usar la versión clara sobre fondos claros o la versión color sobre café oscuro.</w:t>
      </w:r>
    </w:p>
    <w:p>
      <w:pPr>
        <w:pStyle w:val="ListParagraph"/>
        <w:numPr>
          <w:ilvl w:val="0"/>
          <w:numId w:val="4"/>
        </w:numPr>
        <w:spacing w:after="60"/>
      </w:pPr>
      <w:r>
        <w:t xml:space="preserve">Agregar el símbolo ® antes de tener la resolución de INDECOPI.</w:t>
      </w:r>
    </w:p>
    <w:p>
      <w:pPr>
        <w:pStyle w:val="Heading1"/>
      </w:pPr>
      <w:r>
        <w:t xml:space="preserve">3. Paleta de colores</w:t>
      </w:r>
    </w:p>
    <w:p>
      <w:pPr>
        <w:spacing w:after="120"/>
      </w:pPr>
      <w:r>
        <w:t xml:space="preserve">El RGB se calculó a partir del hex. El contraste se calculó con la fórmula de las pautas de accesibilidad WCAG 2.1 del W3C: 4.5 a 1 o más sirve para texto normal y 3 a 1 para títulos grandes.</w:t>
      </w:r>
    </w:p>
    <w:p>
      <w:pPr>
        <w:pStyle w:val="Heading2"/>
      </w:pPr>
      <w:r>
        <w:t xml:space="preserve">3.1 Colores de marca (tema de la TC5-8 y de la plantilla del 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4"/>
        <w:gridCol w:w="1019"/>
        <w:gridCol w:w="1019"/>
        <w:gridCol w:w="4265"/>
        <w:gridCol w:w="1493"/>
      </w:tblGrid>
      <w:tr>
        <w:trPr>
          <w:tblHeader/>
        </w:trPr>
        <w:tc>
          <w:tcPr>
            <w:tcW w:type="dxa" w:w="156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Nombre</w:t>
            </w:r>
          </w:p>
        </w:tc>
        <w:tc>
          <w:tcPr>
            <w:tcW w:type="dxa" w:w="101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Hex</w:t>
            </w:r>
          </w:p>
        </w:tc>
        <w:tc>
          <w:tcPr>
            <w:tcW w:type="dxa" w:w="101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RGB</w:t>
            </w:r>
          </w:p>
        </w:tc>
        <w:tc>
          <w:tcPr>
            <w:tcW w:type="dxa" w:w="426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Uso</w:t>
            </w:r>
          </w:p>
        </w:tc>
        <w:tc>
          <w:tcPr>
            <w:tcW w:type="dxa" w:w="149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Contraste sobre crema</w:t>
            </w:r>
          </w:p>
        </w:tc>
      </w:tr>
      <w:tr>
        <w:trPr>
          <w:tblHeader w:val="false"/>
        </w:trPr>
        <w:tc>
          <w:tcPr>
            <w:tcW w:type="dxa" w:w="156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Café oscuro</w:t>
            </w:r>
          </w:p>
        </w:tc>
        <w:tc>
          <w:tcPr>
            <w:tcW w:type="dxa" w:w="10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4A2018</w:t>
            </w:r>
          </w:p>
        </w:tc>
        <w:tc>
          <w:tcPr>
            <w:tcW w:type="dxa" w:w="10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74, 32, 24</w:t>
            </w:r>
          </w:p>
        </w:tc>
        <w:tc>
          <w:tcPr>
            <w:tcW w:type="dxa" w:w="426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Títulos, fondos de portada, sección y cierre, encabezados de tabla</w:t>
            </w:r>
          </w:p>
        </w:tc>
        <w:tc>
          <w:tcPr>
            <w:tcW w:type="dxa" w:w="14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12.6 a 1</w:t>
            </w:r>
          </w:p>
        </w:tc>
      </w:tr>
      <w:tr>
        <w:trPr>
          <w:tblHeader w:val="false"/>
        </w:trPr>
        <w:tc>
          <w:tcPr>
            <w:tcW w:type="dxa" w:w="156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Texto</w:t>
            </w:r>
          </w:p>
        </w:tc>
        <w:tc>
          <w:tcPr>
            <w:tcW w:type="dxa" w:w="10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3B1A14</w:t>
            </w:r>
          </w:p>
        </w:tc>
        <w:tc>
          <w:tcPr>
            <w:tcW w:type="dxa" w:w="10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59, 26, 20</w:t>
            </w:r>
          </w:p>
        </w:tc>
        <w:tc>
          <w:tcPr>
            <w:tcW w:type="dxa" w:w="426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Texto corrido</w:t>
            </w:r>
          </w:p>
        </w:tc>
        <w:tc>
          <w:tcPr>
            <w:tcW w:type="dxa" w:w="14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14.2 a 1</w:t>
            </w:r>
          </w:p>
        </w:tc>
      </w:tr>
      <w:tr>
        <w:trPr>
          <w:tblHeader w:val="false"/>
        </w:trPr>
        <w:tc>
          <w:tcPr>
            <w:tcW w:type="dxa" w:w="156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Rojo ladrillo (acento)</w:t>
            </w:r>
          </w:p>
        </w:tc>
        <w:tc>
          <w:tcPr>
            <w:tcW w:type="dxa" w:w="10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BA4036</w:t>
            </w:r>
          </w:p>
        </w:tc>
        <w:tc>
          <w:tcPr>
            <w:tcW w:type="dxa" w:w="10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186, 64, 54</w:t>
            </w:r>
          </w:p>
        </w:tc>
        <w:tc>
          <w:tcPr>
            <w:tcW w:type="dxa" w:w="426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"Bite" del logo, kickers, la cifra o el dato clave, botones</w:t>
            </w:r>
          </w:p>
        </w:tc>
        <w:tc>
          <w:tcPr>
            <w:tcW w:type="dxa" w:w="14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4.9 a 1</w:t>
            </w:r>
          </w:p>
        </w:tc>
      </w:tr>
      <w:tr>
        <w:trPr>
          <w:tblHeader w:val="false"/>
        </w:trPr>
        <w:tc>
          <w:tcPr>
            <w:tcW w:type="dxa" w:w="156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Dorado</w:t>
            </w:r>
          </w:p>
        </w:tc>
        <w:tc>
          <w:tcPr>
            <w:tcW w:type="dxa" w:w="10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E3A33B</w:t>
            </w:r>
          </w:p>
        </w:tc>
        <w:tc>
          <w:tcPr>
            <w:tcW w:type="dxa" w:w="10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227, 163, 59</w:t>
            </w:r>
          </w:p>
        </w:tc>
        <w:tc>
          <w:tcPr>
            <w:tcW w:type="dxa" w:w="426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Etiquetas y detalles sobre fondo café (no para texto sobre crema)</w:t>
            </w:r>
          </w:p>
        </w:tc>
        <w:tc>
          <w:tcPr>
            <w:tcW w:type="dxa" w:w="14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2.0 a 1</w:t>
            </w:r>
          </w:p>
        </w:tc>
      </w:tr>
      <w:tr>
        <w:trPr>
          <w:tblHeader w:val="false"/>
        </w:trPr>
        <w:tc>
          <w:tcPr>
            <w:tcW w:type="dxa" w:w="156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Verde oliva</w:t>
            </w:r>
          </w:p>
        </w:tc>
        <w:tc>
          <w:tcPr>
            <w:tcW w:type="dxa" w:w="10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7C8A3A</w:t>
            </w:r>
          </w:p>
        </w:tc>
        <w:tc>
          <w:tcPr>
            <w:tcW w:type="dxa" w:w="10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124, 138, 58</w:t>
            </w:r>
          </w:p>
        </w:tc>
        <w:tc>
          <w:tcPr>
            <w:tcW w:type="dxa" w:w="426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Íconos y gráficos de apoyo; lo natural, la cañihua</w:t>
            </w:r>
          </w:p>
        </w:tc>
        <w:tc>
          <w:tcPr>
            <w:tcW w:type="dxa" w:w="14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3.4 a 1</w:t>
            </w:r>
          </w:p>
        </w:tc>
      </w:tr>
      <w:tr>
        <w:trPr>
          <w:tblHeader w:val="false"/>
        </w:trPr>
        <w:tc>
          <w:tcPr>
            <w:tcW w:type="dxa" w:w="156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Arena</w:t>
            </w:r>
          </w:p>
        </w:tc>
        <w:tc>
          <w:tcPr>
            <w:tcW w:type="dxa" w:w="10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D9B48F</w:t>
            </w:r>
          </w:p>
        </w:tc>
        <w:tc>
          <w:tcPr>
            <w:tcW w:type="dxa" w:w="10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217, 180, 143</w:t>
            </w:r>
          </w:p>
        </w:tc>
        <w:tc>
          <w:tcPr>
            <w:tcW w:type="dxa" w:w="426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Subtítulos sobre fondo café, bordes y líneas</w:t>
            </w:r>
          </w:p>
        </w:tc>
        <w:tc>
          <w:tcPr>
            <w:tcW w:type="dxa" w:w="14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1.8 a 1</w:t>
            </w:r>
          </w:p>
        </w:tc>
      </w:tr>
      <w:tr>
        <w:trPr>
          <w:tblHeader w:val="false"/>
        </w:trPr>
        <w:tc>
          <w:tcPr>
            <w:tcW w:type="dxa" w:w="156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Vino</w:t>
            </w:r>
          </w:p>
        </w:tc>
        <w:tc>
          <w:tcPr>
            <w:tcW w:type="dxa" w:w="10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8A1C2B</w:t>
            </w:r>
          </w:p>
        </w:tc>
        <w:tc>
          <w:tcPr>
            <w:tcW w:type="dxa" w:w="10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138, 28, 43</w:t>
            </w:r>
          </w:p>
        </w:tc>
        <w:tc>
          <w:tcPr>
            <w:tcW w:type="dxa" w:w="426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Enlaces visitados y segundo acento, con poco uso</w:t>
            </w:r>
          </w:p>
        </w:tc>
        <w:tc>
          <w:tcPr>
            <w:tcW w:type="dxa" w:w="14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8.4 a 1</w:t>
            </w:r>
          </w:p>
        </w:tc>
      </w:tr>
      <w:tr>
        <w:trPr>
          <w:tblHeader w:val="false"/>
        </w:trPr>
        <w:tc>
          <w:tcPr>
            <w:tcW w:type="dxa" w:w="156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Café medio</w:t>
            </w:r>
          </w:p>
        </w:tc>
        <w:tc>
          <w:tcPr>
            <w:tcW w:type="dxa" w:w="10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6B3A2A</w:t>
            </w:r>
          </w:p>
        </w:tc>
        <w:tc>
          <w:tcPr>
            <w:tcW w:type="dxa" w:w="101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107, 58, 42</w:t>
            </w:r>
          </w:p>
        </w:tc>
        <w:tc>
          <w:tcPr>
            <w:tcW w:type="dxa" w:w="426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Pie de página, textos secundarios, círculos de íconos</w:t>
            </w:r>
          </w:p>
        </w:tc>
        <w:tc>
          <w:tcPr>
            <w:tcW w:type="dxa" w:w="14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8.4 a 1</w:t>
            </w:r>
          </w:p>
        </w:tc>
      </w:tr>
      <w:tr>
        <w:trPr>
          <w:tblHeader w:val="false"/>
        </w:trPr>
        <w:tc>
          <w:tcPr>
            <w:tcW w:type="dxa" w:w="156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Crema (fondo)</w:t>
            </w:r>
          </w:p>
        </w:tc>
        <w:tc>
          <w:tcPr>
            <w:tcW w:type="dxa" w:w="10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FBF3E8</w:t>
            </w:r>
          </w:p>
        </w:tc>
        <w:tc>
          <w:tcPr>
            <w:tcW w:type="dxa" w:w="101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251, 243, 232</w:t>
            </w:r>
          </w:p>
        </w:tc>
        <w:tc>
          <w:tcPr>
            <w:tcW w:type="dxa" w:w="426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Fondo de diapositivas, documentos, redes y POP</w:t>
            </w:r>
          </w:p>
        </w:tc>
        <w:tc>
          <w:tcPr>
            <w:tcW w:type="dxa" w:w="14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w:t>
            </w:r>
          </w:p>
        </w:tc>
      </w:tr>
    </w:tbl>
    <w:p>
      <w:pPr>
        <w:spacing w:after="80"/>
      </w:pPr>
    </w:p>
    <w:p>
      <w:pPr>
        <w:spacing w:after="120"/>
      </w:pPr>
      <w:r>
        <w:rPr>
          <w:b/>
          <w:bCs/>
        </w:rPr>
        <w:t xml:space="preserve">Proporción [PROPUESTA]:</w:t>
      </w:r>
      <w:r>
        <w:t xml:space="preserve"> 60 % crema, 30 % cafés y 10 % rojo ladrillo. El rojo ladrillo se guarda para lo que el padre debe ver primero: el dato, el precio o el llamado a escanear.</w:t>
      </w:r>
    </w:p>
    <w:p>
      <w:pPr>
        <w:spacing w:after="120"/>
      </w:pPr>
      <w:r>
        <w:t xml:space="preserve">El documento 06 proponía un "rojo hierro" 9E2B25. Se reemplaza por el rojo ladrillo BA4036, que es el del logo y el de HECHOS_v7.</w:t>
      </w:r>
    </w:p>
    <w:p>
      <w:pPr>
        <w:pStyle w:val="Heading2"/>
      </w:pPr>
      <w:r>
        <w:t xml:space="preserve">3.2 Colores del logo y del empaque (</w:t>
      </w:r>
      <w:r>
        <w:rPr>
          <w:rFonts w:ascii="Consolas" w:cs="Consolas" w:eastAsia="Consolas" w:hAnsi="Consolas"/>
          <w:color w:val="4A2018"/>
          <w:sz w:val="19"/>
          <w:szCs w:val="19"/>
        </w:rPr>
        <w:t xml:space="preserve">assets/empaque/build3.py</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8"/>
        <w:gridCol w:w="1041"/>
        <w:gridCol w:w="1176"/>
        <w:gridCol w:w="5425"/>
      </w:tblGrid>
      <w:tr>
        <w:trPr>
          <w:tblHeader/>
        </w:trPr>
        <w:tc>
          <w:tcPr>
            <w:tcW w:type="dxa" w:w="171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Nombre</w:t>
            </w:r>
          </w:p>
        </w:tc>
        <w:tc>
          <w:tcPr>
            <w:tcW w:type="dxa" w:w="104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Hex</w:t>
            </w:r>
          </w:p>
        </w:tc>
        <w:tc>
          <w:tcPr>
            <w:tcW w:type="dxa" w:w="117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RGB</w:t>
            </w:r>
          </w:p>
        </w:tc>
        <w:tc>
          <w:tcPr>
            <w:tcW w:type="dxa" w:w="542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Dónde está</w:t>
            </w:r>
          </w:p>
        </w:tc>
      </w:tr>
      <w:tr>
        <w:trPr>
          <w:tblHeader w:val="false"/>
        </w:trPr>
        <w:tc>
          <w:tcPr>
            <w:tcW w:type="dxa" w:w="171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Café cacao del logo</w:t>
            </w:r>
          </w:p>
        </w:tc>
        <w:tc>
          <w:tcPr>
            <w:tcW w:type="dxa" w:w="104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5C301E</w:t>
            </w:r>
          </w:p>
        </w:tc>
        <w:tc>
          <w:tcPr>
            <w:tcW w:type="dxa" w:w="11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92, 48, 30</w:t>
            </w:r>
          </w:p>
        </w:tc>
        <w:tc>
          <w:tcPr>
            <w:tcW w:type="dxa" w:w="54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"Andi" del logo y textos café del empaque</w:t>
            </w:r>
          </w:p>
        </w:tc>
      </w:tr>
      <w:tr>
        <w:trPr>
          <w:tblHeader w:val="false"/>
        </w:trPr>
        <w:tc>
          <w:tcPr>
            <w:tcW w:type="dxa" w:w="171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Kraft</w:t>
            </w:r>
          </w:p>
        </w:tc>
        <w:tc>
          <w:tcPr>
            <w:tcW w:type="dxa" w:w="104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E8CDB3</w:t>
            </w:r>
          </w:p>
        </w:tc>
        <w:tc>
          <w:tcPr>
            <w:tcW w:type="dxa" w:w="11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232, 205, 179</w:t>
            </w:r>
          </w:p>
        </w:tc>
        <w:tc>
          <w:tcPr>
            <w:tcW w:type="dxa" w:w="54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Fondo del sticker, color del papel kraft</w:t>
            </w:r>
          </w:p>
        </w:tc>
      </w:tr>
      <w:tr>
        <w:trPr>
          <w:tblHeader w:val="false"/>
        </w:trPr>
        <w:tc>
          <w:tcPr>
            <w:tcW w:type="dxa" w:w="171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Banda inferior</w:t>
            </w:r>
          </w:p>
        </w:tc>
        <w:tc>
          <w:tcPr>
            <w:tcW w:type="dxa" w:w="104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5A2421</w:t>
            </w:r>
          </w:p>
        </w:tc>
        <w:tc>
          <w:tcPr>
            <w:tcW w:type="dxa" w:w="11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90, 36, 33</w:t>
            </w:r>
          </w:p>
        </w:tc>
        <w:tc>
          <w:tcPr>
            <w:tcW w:type="dxa" w:w="54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Franja de abajo del frente, con los íconos y el peso neto</w:t>
            </w:r>
          </w:p>
        </w:tc>
      </w:tr>
      <w:tr>
        <w:trPr>
          <w:tblHeader w:val="false"/>
        </w:trPr>
        <w:tc>
          <w:tcPr>
            <w:tcW w:type="dxa" w:w="171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Cinta</w:t>
            </w:r>
          </w:p>
        </w:tc>
        <w:tc>
          <w:tcPr>
            <w:tcW w:type="dxa" w:w="104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702A28</w:t>
            </w:r>
          </w:p>
        </w:tc>
        <w:tc>
          <w:tcPr>
            <w:tcW w:type="dxa" w:w="11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112, 42, 40</w:t>
            </w:r>
          </w:p>
        </w:tc>
        <w:tc>
          <w:tcPr>
            <w:tcW w:type="dxa" w:w="54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Cinta del prototipo "Sangrecita + Cañihua + Cacao". En la versión de venta, ese texto solo va en el sabor Andi; Chispa y Lúcu llevan su propia cinta, porque no tienen cañihua</w:t>
            </w:r>
          </w:p>
        </w:tc>
      </w:tr>
      <w:tr>
        <w:trPr>
          <w:tblHeader w:val="false"/>
        </w:trPr>
        <w:tc>
          <w:tcPr>
            <w:tcW w:type="dxa" w:w="171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Pestaña</w:t>
            </w:r>
          </w:p>
        </w:tc>
        <w:tc>
          <w:tcPr>
            <w:tcW w:type="dxa" w:w="104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632727</w:t>
            </w:r>
          </w:p>
        </w:tc>
        <w:tc>
          <w:tcPr>
            <w:tcW w:type="dxa" w:w="11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99, 39, 39</w:t>
            </w:r>
          </w:p>
        </w:tc>
        <w:tc>
          <w:tcPr>
            <w:tcW w:type="dxa" w:w="54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Pestaña "6 mini brownies" arriba a la derecha</w:t>
            </w:r>
          </w:p>
        </w:tc>
      </w:tr>
      <w:tr>
        <w:trPr>
          <w:tblHeader w:val="false"/>
        </w:trPr>
        <w:tc>
          <w:tcPr>
            <w:tcW w:type="dxa" w:w="171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Crema del empaque</w:t>
            </w:r>
          </w:p>
        </w:tc>
        <w:tc>
          <w:tcPr>
            <w:tcW w:type="dxa" w:w="104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F7ECDA</w:t>
            </w:r>
          </w:p>
        </w:tc>
        <w:tc>
          <w:tcPr>
            <w:tcW w:type="dxa" w:w="11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247, 236, 218</w:t>
            </w:r>
          </w:p>
        </w:tc>
        <w:tc>
          <w:tcPr>
            <w:tcW w:type="dxa" w:w="542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Textos claros sobre la banda, la cinta y la pestaña</w:t>
            </w:r>
          </w:p>
        </w:tc>
      </w:tr>
      <w:tr>
        <w:trPr>
          <w:tblHeader w:val="false"/>
        </w:trPr>
        <w:tc>
          <w:tcPr>
            <w:tcW w:type="dxa" w:w="171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Rojo del empaque</w:t>
            </w:r>
          </w:p>
        </w:tc>
        <w:tc>
          <w:tcPr>
            <w:tcW w:type="dxa" w:w="104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BA4036</w:t>
            </w:r>
          </w:p>
        </w:tc>
        <w:tc>
          <w:tcPr>
            <w:tcW w:type="dxa" w:w="11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186, 64, 54</w:t>
            </w:r>
          </w:p>
        </w:tc>
        <w:tc>
          <w:tcPr>
            <w:tcW w:type="dxa" w:w="542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"Bite" en el sticker (igual al rojo ladrillo)</w:t>
            </w:r>
          </w:p>
        </w:tc>
      </w:tr>
    </w:tbl>
    <w:p>
      <w:pPr>
        <w:spacing w:after="80"/>
      </w:pPr>
    </w:p>
    <w:p>
      <w:pPr>
        <w:spacing w:after="120"/>
      </w:pPr>
      <w:r>
        <w:t xml:space="preserve">El script define además un oliva 877D34 (135, 125, 52) que hoy no se ve en el sticker.</w:t>
      </w:r>
    </w:p>
    <w:p>
      <w:pPr>
        <w:pStyle w:val="Heading2"/>
      </w:pPr>
      <w:r>
        <w:t xml:space="preserve">3.3 Colores de los sabores (documento 06, sección 3)</w:t>
      </w:r>
    </w:p>
    <w:p>
      <w:pPr>
        <w:spacing w:after="120"/>
      </w:pPr>
      <w:r>
        <w:t xml:space="preserve">El color de marca (kraft, crema y café) no cambia. El color del sabor va en una banda horizontal del frente, en el sobre individual y en el canto de la caja.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6"/>
        <w:gridCol w:w="2248"/>
        <w:gridCol w:w="966"/>
        <w:gridCol w:w="966"/>
        <w:gridCol w:w="4214"/>
      </w:tblGrid>
      <w:tr>
        <w:trPr>
          <w:tblHeader/>
        </w:trPr>
        <w:tc>
          <w:tcPr>
            <w:tcW w:type="dxa" w:w="96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Sabor</w:t>
            </w:r>
          </w:p>
        </w:tc>
        <w:tc>
          <w:tcPr>
            <w:tcW w:type="dxa" w:w="224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Descriptor</w:t>
            </w:r>
          </w:p>
        </w:tc>
        <w:tc>
          <w:tcPr>
            <w:tcW w:type="dxa" w:w="96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Hex</w:t>
            </w:r>
          </w:p>
        </w:tc>
        <w:tc>
          <w:tcPr>
            <w:tcW w:type="dxa" w:w="96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RGB</w:t>
            </w:r>
          </w:p>
        </w:tc>
        <w:tc>
          <w:tcPr>
            <w:tcW w:type="dxa" w:w="421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Cuándo</w:t>
            </w:r>
          </w:p>
        </w:tc>
      </w:tr>
      <w:tr>
        <w:trPr>
          <w:tblHeader w:val="false"/>
        </w:trPr>
        <w:tc>
          <w:tcPr>
            <w:tcW w:type="dxa" w:w="9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Chispa</w:t>
            </w:r>
          </w:p>
        </w:tc>
        <w:tc>
          <w:tcPr>
            <w:tcW w:type="dxa" w:w="224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Choco con chispas</w:t>
            </w:r>
          </w:p>
        </w:tc>
        <w:tc>
          <w:tcPr>
            <w:tcW w:type="dxa" w:w="9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D7392B</w:t>
            </w:r>
          </w:p>
        </w:tc>
        <w:tc>
          <w:tcPr>
            <w:tcW w:type="dxa" w:w="9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215, 57, 43</w:t>
            </w:r>
          </w:p>
        </w:tc>
        <w:tc>
          <w:tcPr>
            <w:tcW w:type="dxa" w:w="42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Lanzamiento</w:t>
            </w:r>
          </w:p>
        </w:tc>
      </w:tr>
      <w:tr>
        <w:trPr>
          <w:tblHeader w:val="false"/>
        </w:trPr>
        <w:tc>
          <w:tcPr>
            <w:tcW w:type="dxa" w:w="96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Andi</w:t>
            </w:r>
          </w:p>
        </w:tc>
        <w:tc>
          <w:tcPr>
            <w:tcW w:type="dxa" w:w="224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Choco, plátano, canela y cañihua</w:t>
            </w:r>
          </w:p>
        </w:tc>
        <w:tc>
          <w:tcPr>
            <w:tcW w:type="dxa" w:w="96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E9B730</w:t>
            </w:r>
          </w:p>
        </w:tc>
        <w:tc>
          <w:tcPr>
            <w:tcW w:type="dxa" w:w="96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233, 183, 48</w:t>
            </w:r>
          </w:p>
        </w:tc>
        <w:tc>
          <w:tcPr>
            <w:tcW w:type="dxa" w:w="421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Lanzamiento</w:t>
            </w:r>
          </w:p>
        </w:tc>
      </w:tr>
      <w:tr>
        <w:trPr>
          <w:tblHeader w:val="false"/>
        </w:trPr>
        <w:tc>
          <w:tcPr>
            <w:tcW w:type="dxa" w:w="9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Lúcu</w:t>
            </w:r>
          </w:p>
        </w:tc>
        <w:tc>
          <w:tcPr>
            <w:tcW w:type="dxa" w:w="224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Choco y lúcuma</w:t>
            </w:r>
          </w:p>
        </w:tc>
        <w:tc>
          <w:tcPr>
            <w:tcW w:type="dxa" w:w="9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B9733A</w:t>
            </w:r>
          </w:p>
        </w:tc>
        <w:tc>
          <w:tcPr>
            <w:tcW w:type="dxa" w:w="9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185, 115, 58</w:t>
            </w:r>
          </w:p>
        </w:tc>
        <w:tc>
          <w:tcPr>
            <w:tcW w:type="dxa" w:w="42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Lanzamiento</w:t>
            </w:r>
          </w:p>
        </w:tc>
      </w:tr>
      <w:tr>
        <w:trPr>
          <w:tblHeader w:val="false"/>
        </w:trPr>
        <w:tc>
          <w:tcPr>
            <w:tcW w:type="dxa" w:w="96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Nara</w:t>
            </w:r>
          </w:p>
        </w:tc>
        <w:tc>
          <w:tcPr>
            <w:tcW w:type="dxa" w:w="224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Choco y naranja</w:t>
            </w:r>
          </w:p>
        </w:tc>
        <w:tc>
          <w:tcPr>
            <w:tcW w:type="dxa" w:w="96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F26B1D</w:t>
            </w:r>
          </w:p>
        </w:tc>
        <w:tc>
          <w:tcPr>
            <w:tcW w:type="dxa" w:w="96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242, 107, 29</w:t>
            </w:r>
          </w:p>
        </w:tc>
        <w:tc>
          <w:tcPr>
            <w:tcW w:type="dxa" w:w="421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Temporada, mayo a agosto [la venta de temporada no está en el Excel v7]</w:t>
            </w:r>
          </w:p>
        </w:tc>
      </w:tr>
      <w:tr>
        <w:trPr>
          <w:tblHeader w:val="false"/>
        </w:trPr>
        <w:tc>
          <w:tcPr>
            <w:tcW w:type="dxa" w:w="9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Fresi</w:t>
            </w:r>
          </w:p>
        </w:tc>
        <w:tc>
          <w:tcPr>
            <w:tcW w:type="dxa" w:w="224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Choco y fresa</w:t>
            </w:r>
          </w:p>
        </w:tc>
        <w:tc>
          <w:tcPr>
            <w:tcW w:type="dxa" w:w="9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E9799B</w:t>
            </w:r>
          </w:p>
        </w:tc>
        <w:tc>
          <w:tcPr>
            <w:tcW w:type="dxa" w:w="96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233, 121, 155</w:t>
            </w:r>
          </w:p>
        </w:tc>
        <w:tc>
          <w:tcPr>
            <w:tcW w:type="dxa" w:w="421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Temporada, Día del Niño y diciembre [igual]</w:t>
            </w:r>
          </w:p>
        </w:tc>
      </w:tr>
    </w:tbl>
    <w:p>
      <w:pPr>
        <w:spacing w:after="80"/>
      </w:pPr>
    </w:p>
    <w:p>
      <w:pPr>
        <w:spacing w:after="120"/>
      </w:pPr>
      <w:r>
        <w:t xml:space="preserve">HECHOS_v7 solo tiene los tres sabores de lanzamiento. Nara y Fresi se guardan como colores reservados; no se diseñan piezas con ellos hasta que el equipo decida lanzarlos.</w:t>
      </w:r>
    </w:p>
    <w:p>
      <w:pPr>
        <w:spacing w:after="120"/>
      </w:pPr>
      <w:r>
        <w:t xml:space="preserve">Regla de lectura: sobre el amarillo de Andi y el rosa de Fresi el texto va en café oscuro; sobre el rojo de Chispa y el naranja de Nara, en crema.</w:t>
      </w:r>
    </w:p>
    <w:p>
      <w:pPr>
        <w:pStyle w:val="Heading1"/>
      </w:pPr>
      <w:r>
        <w:t xml:space="preserve">4. 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28"/>
        <w:gridCol w:w="2905"/>
        <w:gridCol w:w="3227"/>
      </w:tblGrid>
      <w:tr>
        <w:trPr>
          <w:tblHeader/>
        </w:trPr>
        <w:tc>
          <w:tcPr>
            <w:tcW w:type="dxa" w:w="322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Uso</w:t>
            </w:r>
          </w:p>
        </w:tc>
        <w:tc>
          <w:tcPr>
            <w:tcW w:type="dxa" w:w="290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Letra</w:t>
            </w:r>
          </w:p>
        </w:tc>
        <w:tc>
          <w:tcPr>
            <w:tcW w:type="dxa" w:w="322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Cómo</w:t>
            </w:r>
          </w:p>
        </w:tc>
      </w:tr>
      <w:tr>
        <w:trPr>
          <w:tblHeader w:val="false"/>
        </w:trPr>
        <w:tc>
          <w:tcPr>
            <w:tcW w:type="dxa" w:w="322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Institucional:</w:t>
            </w:r>
            <w:r>
              <w:rPr>
                <w:sz w:val="19"/>
                <w:szCs w:val="19"/>
              </w:rPr>
              <w:t xml:space="preserve"> presentación, documentos, habladores, redes, WhatsApp</w:t>
            </w:r>
          </w:p>
        </w:tc>
        <w:tc>
          <w:tcPr>
            <w:tcW w:type="dxa" w:w="290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Calibri</w:t>
            </w:r>
            <w:r>
              <w:rPr>
                <w:sz w:val="19"/>
                <w:szCs w:val="19"/>
              </w:rPr>
              <w:t xml:space="preserve"> (HECHOS_v7 y plantilla)</w:t>
            </w:r>
          </w:p>
        </w:tc>
        <w:tc>
          <w:tcPr>
            <w:tcW w:type="dxa" w:w="32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Títulos en Calibri negrita café oscuro. Texto en Calibri normal, color texto 3B1A14. Kicker (la línea corta sobre el título) en Calibri negrita, mayúsculas, rojo ladrillo, con espacio entre letras</w:t>
            </w:r>
          </w:p>
        </w:tc>
      </w:tr>
      <w:tr>
        <w:trPr>
          <w:tblHeader w:val="false"/>
        </w:trPr>
        <w:tc>
          <w:tcPr>
            <w:tcW w:type="dxa" w:w="322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Logotipo</w:t>
            </w:r>
          </w:p>
        </w:tc>
        <w:tc>
          <w:tcPr>
            <w:tcW w:type="dxa" w:w="290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Dibujo propio, de la familia de Fredoka One</w:t>
            </w:r>
          </w:p>
        </w:tc>
        <w:tc>
          <w:tcPr>
            <w:tcW w:type="dxa" w:w="322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Solo desde el PNG; no se vuelve a escribir</w:t>
            </w:r>
          </w:p>
        </w:tc>
      </w:tr>
      <w:tr>
        <w:trPr>
          <w:tblHeader w:val="false"/>
        </w:trPr>
        <w:tc>
          <w:tcPr>
            <w:tcW w:type="dxa" w:w="322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Empaque</w:t>
            </w:r>
            <w:r>
              <w:rPr>
                <w:sz w:val="19"/>
                <w:szCs w:val="19"/>
              </w:rPr>
              <w:t xml:space="preserve"> (sticker actual, </w:t>
            </w:r>
            <w:r>
              <w:rPr>
                <w:rFonts w:ascii="Consolas" w:cs="Consolas" w:eastAsia="Consolas" w:hAnsi="Consolas"/>
                <w:color w:val="4A2018"/>
                <w:sz w:val="19"/>
                <w:szCs w:val="19"/>
              </w:rPr>
              <w:t xml:space="preserve">build3.py</w:t>
            </w:r>
            <w:r>
              <w:rPr>
                <w:sz w:val="19"/>
                <w:szCs w:val="19"/>
              </w:rPr>
              <w:t xml:space="preserve">)</w:t>
            </w:r>
          </w:p>
        </w:tc>
        <w:tc>
          <w:tcPr>
            <w:tcW w:type="dxa" w:w="290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Fredoka One, Nunito y Caveat (Google Fonts, gratuitas)</w:t>
            </w:r>
          </w:p>
        </w:tc>
        <w:tc>
          <w:tcPr>
            <w:tcW w:type="dxa" w:w="322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Fredoka One para el logo y el número del pack. Nunito normal, negrita y extra negrita para textos, íconos y peso neto. Caveat solo para la frase manuscrita del frente y del reverso</w:t>
            </w:r>
          </w:p>
        </w:tc>
      </w:tr>
      <w:tr>
        <w:trPr>
          <w:tblHeader w:val="false"/>
        </w:trPr>
        <w:tc>
          <w:tcPr>
            <w:tcW w:type="dxa" w:w="322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Cifras de hierro y precios</w:t>
            </w:r>
          </w:p>
        </w:tc>
        <w:tc>
          <w:tcPr>
            <w:tcW w:type="dxa" w:w="290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Calibri negrita (o Nunito extra negrita en el empaque)</w:t>
            </w:r>
          </w:p>
        </w:tc>
        <w:tc>
          <w:tcPr>
            <w:tcW w:type="dxa" w:w="322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Grandes, en rojo ladrillo o café oscuro, siempre con su unidad: "mg", "S/"</w:t>
            </w:r>
          </w:p>
        </w:tc>
      </w:tr>
    </w:tbl>
    <w:p>
      <w:pPr>
        <w:spacing w:after="80"/>
      </w:pPr>
    </w:p>
    <w:p>
      <w:pPr>
        <w:spacing w:after="120"/>
      </w:pPr>
      <w:r>
        <w:t xml:space="preserve">Tamaños de la plantilla del T2: título de portada 40 pt, título de sección 44 pt, título de cierre 48 pt, título de contenido 34 pt, kicker 12 pt, texto 14 a 18 pt, pie 10 pt.</w:t>
      </w:r>
    </w:p>
    <w:p>
      <w:pPr>
        <w:spacing w:after="120"/>
      </w:pPr>
      <w:r>
        <w:t xml:space="preserve">Reglas:</w:t>
      </w:r>
    </w:p>
    <w:p>
      <w:pPr>
        <w:pStyle w:val="ListParagraph"/>
        <w:numPr>
          <w:ilvl w:val="0"/>
          <w:numId w:val="3"/>
        </w:numPr>
        <w:spacing w:after="60"/>
      </w:pPr>
      <w:r>
        <w:t xml:space="preserve">Dos letras por pieza como máximo (Calibri más una del empaque), sin contar el logo.</w:t>
      </w:r>
    </w:p>
    <w:p>
      <w:pPr>
        <w:pStyle w:val="ListParagraph"/>
        <w:numPr>
          <w:ilvl w:val="0"/>
          <w:numId w:val="3"/>
        </w:numPr>
        <w:spacing w:after="60"/>
      </w:pPr>
      <w:r>
        <w:t xml:space="preserve">Nada de letra en cursiva para frases largas. Caveat solo en frases de cuatro a seis palabras.</w:t>
      </w:r>
    </w:p>
    <w:p>
      <w:pPr>
        <w:pStyle w:val="ListParagraph"/>
        <w:numPr>
          <w:ilvl w:val="0"/>
          <w:numId w:val="3"/>
        </w:numPr>
        <w:spacing w:after="60"/>
      </w:pPr>
      <w:r>
        <w:t xml:space="preserve">Que Calibri esté disponible en Canva queda </w:t>
      </w:r>
      <w:r>
        <w:rPr>
          <w:b/>
          <w:bCs/>
        </w:rPr>
        <w:t xml:space="preserve">[POR CONFIRMAR]</w:t>
      </w:r>
      <w:r>
        <w:t xml:space="preserve">. Si no está, las piezas hechas en Canva usan Nunito, que ya es del empaque.</w:t>
      </w:r>
    </w:p>
    <w:p>
      <w:pPr>
        <w:pStyle w:val="ListParagraph"/>
        <w:numPr>
          <w:ilvl w:val="0"/>
          <w:numId w:val="3"/>
        </w:numPr>
        <w:spacing w:after="60"/>
      </w:pPr>
      <w:r>
        <w:t xml:space="preserve">El documento 06 proponía Fraunces, DM Sans y Space Mono para la ruta Hemi. Esa ruta no se adoptó, así que esas letras no se usan.</w:t>
      </w:r>
    </w:p>
    <w:p>
      <w:pPr>
        <w:pStyle w:val="Heading1"/>
      </w:pPr>
      <w:r>
        <w:t xml:space="preserve">5. Tono de voz</w:t>
      </w:r>
    </w:p>
    <w:p>
      <w:pPr>
        <w:pStyle w:val="Heading2"/>
      </w:pPr>
      <w:r>
        <w:t xml:space="preserve">5.1 Reglas generales</w:t>
      </w:r>
    </w:p>
    <w:p>
      <w:pPr>
        <w:pStyle w:val="ListParagraph"/>
        <w:numPr>
          <w:ilvl w:val="0"/>
          <w:numId w:val="3"/>
        </w:numPr>
        <w:spacing w:after="60"/>
      </w:pPr>
      <w:r>
        <w:t xml:space="preserve">Le hablamos </w:t>
      </w:r>
      <w:r>
        <w:rPr>
          <w:b/>
          <w:bCs/>
        </w:rPr>
        <w:t xml:space="preserve">al adulto que compra</w:t>
      </w:r>
      <w:r>
        <w:t xml:space="preserve">, de tú, con frases cortas.</w:t>
      </w:r>
    </w:p>
    <w:p>
      <w:pPr>
        <w:pStyle w:val="ListParagraph"/>
        <w:numPr>
          <w:ilvl w:val="0"/>
          <w:numId w:val="3"/>
        </w:numPr>
        <w:spacing w:after="60"/>
      </w:pPr>
      <w:r>
        <w:t xml:space="preserve">Primero el dato o el beneficio práctico; después la emoción.</w:t>
      </w:r>
    </w:p>
    <w:p>
      <w:pPr>
        <w:pStyle w:val="ListParagraph"/>
        <w:numPr>
          <w:ilvl w:val="0"/>
          <w:numId w:val="3"/>
        </w:numPr>
        <w:spacing w:after="60"/>
      </w:pPr>
      <w:r>
        <w:t xml:space="preserve">Contamos la sangrecita como mérito, no como secreto vergonzoso: "Sí, tiene sangrecita. Por eso tiene hierro."</w:t>
      </w:r>
    </w:p>
    <w:p>
      <w:pPr>
        <w:pStyle w:val="ListParagraph"/>
        <w:numPr>
          <w:ilvl w:val="0"/>
          <w:numId w:val="3"/>
        </w:numPr>
        <w:spacing w:after="60"/>
      </w:pPr>
      <w:r>
        <w:t xml:space="preserve">No usamos la palabra "anemia" en el empaque ni en la publicidad. En las entrevistas nadie la dijo: los padres hablan de hierro y de energía. Además, ligarla al producto es un riesgo legal (sección 11).</w:t>
      </w:r>
    </w:p>
    <w:p>
      <w:pPr>
        <w:pStyle w:val="ListParagraph"/>
        <w:numPr>
          <w:ilvl w:val="0"/>
          <w:numId w:val="3"/>
        </w:numPr>
        <w:spacing w:after="60"/>
      </w:pPr>
      <w:r>
        <w:t xml:space="preserve">Humor seco, nunca burla del niño ni culpa al padre.</w:t>
      </w:r>
    </w:p>
    <w:p>
      <w:pPr>
        <w:pStyle w:val="Heading2"/>
      </w:pPr>
      <w:r>
        <w:t xml:space="preserve">5.2 Cómo le hablamos al padre A y al padre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3955"/>
        <w:gridCol w:w="3955"/>
      </w:tblGrid>
      <w:tr>
        <w:trPr>
          <w:tblHeader/>
        </w:trPr>
        <w:tc>
          <w:tcPr>
            <w:tcW w:type="dxa" w:w="145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tc>
        <w:tc>
          <w:tcPr>
            <w:tcW w:type="dxa" w:w="395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Padre A: Claudia</w:t>
            </w:r>
          </w:p>
        </w:tc>
        <w:tc>
          <w:tcPr>
            <w:tcW w:type="dxa" w:w="395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Padre B: Rodrigo</w:t>
            </w:r>
          </w:p>
        </w:tc>
      </w:tr>
      <w:tr>
        <w:trPr>
          <w:tblHeader w:val="false"/>
        </w:trPr>
        <w:tc>
          <w:tcPr>
            <w:tcW w:type="dxa" w:w="14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Quién es</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38 años, San Borja, abogada, 2 hijos (7 y 4). Lee etiquetas y pregunta al pediatra</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40 años, San Miguel, jefe de logística, 2 hijos (9 y 6). Mira el precio por brownie</w:t>
            </w:r>
          </w:p>
        </w:tc>
      </w:tr>
      <w:tr>
        <w:trPr>
          <w:tblHeader w:val="false"/>
        </w:trPr>
        <w:tc>
          <w:tcPr>
            <w:tcW w:type="dxa" w:w="14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Su frase</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"Todo lo que le hace bien, mi hijo lo escupe."</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me vendas salud, véndeme una mañana menos."</w:t>
            </w:r>
          </w:p>
        </w:tc>
      </w:tr>
      <w:tr>
        <w:trPr>
          <w:tblHeader w:val="false"/>
        </w:trPr>
        <w:tc>
          <w:tcPr>
            <w:tcW w:type="dxa" w:w="14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Qué quiere oír</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Evidencia: cuánto hierro, de qué lote, quién lo midió</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Solución práctica: la lonchera resuelta, el precio claro, el aviso para reponer</w:t>
            </w:r>
          </w:p>
        </w:tc>
      </w:tr>
      <w:tr>
        <w:trPr>
          <w:tblHeader w:val="false"/>
        </w:trPr>
        <w:tc>
          <w:tcPr>
            <w:tcW w:type="dxa" w:w="14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Mensaje (HECHOS_v7)</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"Él ve un brownie. Tú ves el hierro medido de su lote."</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"Una mañana menos: la lonchera de la semana, a S/4.16 por brownie."</w:t>
            </w:r>
          </w:p>
        </w:tc>
      </w:tr>
      <w:tr>
        <w:trPr>
          <w:tblHeader w:val="false"/>
        </w:trPr>
        <w:tc>
          <w:tcPr>
            <w:tcW w:type="dxa" w:w="14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Tono</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Experto y sereno, "como habla el pediatra"</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Directo, cómplice y con números de precio</w:t>
            </w:r>
          </w:p>
        </w:tc>
      </w:tr>
      <w:tr>
        <w:trPr>
          <w:tblHeader w:val="false"/>
        </w:trPr>
        <w:tc>
          <w:tcPr>
            <w:tcW w:type="dxa" w:w="14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Palabras que funcionan</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lote, laboratorio, miligramos, hierro hemo, ingredientes, informe</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semana, lonchera, resuelto, pack de 12, por WhatsApp, te avisamos</w:t>
            </w:r>
          </w:p>
        </w:tc>
      </w:tr>
      <w:tr>
        <w:trPr>
          <w:tblHeader w:val="false"/>
        </w:trPr>
        <w:tc>
          <w:tcPr>
            <w:tcW w:type="dxa" w:w="145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Ejemplo de copy</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"Lote [código]: hierro medido en laboratorio. Escanea el QR y mira el informe."</w:t>
            </w:r>
          </w:p>
        </w:tc>
        <w:tc>
          <w:tcPr>
            <w:tcW w:type="dxa" w:w="395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"Pack de 12 por WhatsApp: S/49.90, S/4.16 por brownie. Te avisamos cuando se acabe."</w:t>
            </w:r>
          </w:p>
        </w:tc>
      </w:tr>
      <w:tr>
        <w:trPr>
          <w:tblHeader w:val="false"/>
        </w:trPr>
        <w:tc>
          <w:tcPr>
            <w:tcW w:type="dxa" w:w="145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Dónde</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Jockey Plaza, La Rambla San Borja o carrito en Wong o Vivanda, colegios de pensión alta, pediatras</w:t>
            </w:r>
          </w:p>
        </w:tc>
        <w:tc>
          <w:tcPr>
            <w:tcW w:type="dxa" w:w="395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Jockey Plaza, Real Plaza Salaverry u Open Plaza Angamos, carrito en Plaza Vea, Innova Schools, chats del salón</w:t>
            </w:r>
          </w:p>
        </w:tc>
      </w:tr>
    </w:tbl>
    <w:p>
      <w:pPr>
        <w:spacing w:after="80"/>
      </w:pPr>
    </w:p>
    <w:p>
      <w:pPr>
        <w:spacing w:after="120"/>
      </w:pPr>
      <w:r>
        <w:t xml:space="preserve">Esfuerzo parejo: la pauta se reparte 50/50 entre Lima Top (A) y Lima Moderna (B) desde febrero de 2027. Ninguna pieza debe sonar a "producto de lujo" que aleje al padre B, ni a "oferta" que aleje al padre A.</w:t>
      </w:r>
    </w:p>
    <w:p>
      <w:pPr>
        <w:spacing w:after="120"/>
      </w:pPr>
      <w:r>
        <w:t xml:space="preserve">El documento 10 tiene el mensaje B con el cierre "resuelta". Aquí manda HECHOS_v7: "a S/4.16 por brownie".</w:t>
      </w:r>
    </w:p>
    <w:p>
      <w:pPr>
        <w:pStyle w:val="Heading2"/>
      </w:pPr>
      <w:r>
        <w:t xml:space="preserve">5.3 Palabras que sí y palabras que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Sí decimos</w:t>
            </w:r>
          </w:p>
        </w:tc>
        <w:tc>
          <w:tcPr>
            <w:tcW w:type="dxa" w:w="312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No decimos</w:t>
            </w:r>
          </w:p>
        </w:tc>
        <w:tc>
          <w:tcPr>
            <w:tcW w:type="dxa" w:w="312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Por qué</w:t>
            </w:r>
          </w:p>
        </w:tc>
      </w:tr>
      <w:tr>
        <w:trPr>
          <w:tblHeader w:val="false"/>
        </w:trPr>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"Hierro medido en laboratorio", "el hierro de tu lote"</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"Previene la anemia", "combate la anemia", "acaba con la anemia"</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Es una declaración de reducción de riesgo de enfermedad. INDECOPI la puede sancionar como publicidad engañosa (D. Leg. 1044)</w:t>
            </w:r>
          </w:p>
        </w:tc>
      </w:tr>
      <w:tr>
        <w:trPr>
          <w:tblHeader w:val="false"/>
        </w:trPr>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"Contribuye a la meta 2.2 del ODS 2"</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"Cura", "sana", "remedio", "tratamiento"</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 alimento no cura. Además, lo que parece remedio el niño lo rechaza (documento 09)</w:t>
            </w:r>
          </w:p>
        </w:tc>
      </w:tr>
      <w:tr>
        <w:trPr>
          <w:tblHeader w:val="false"/>
        </w:trPr>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"Mini brownie de cacao con sangrecita de res"</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"Superalimento", "nutritivo" sin dato, "100 % saludable"</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Promesas sin cifra para el 42 % que desconfía de lo envasado (Kantar 2025)</w:t>
            </w:r>
          </w:p>
        </w:tc>
      </w:tr>
      <w:tr>
        <w:trPr>
          <w:tblHeader w:val="false"/>
        </w:trPr>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"Fuente de hierro", solo si el laboratorio da 2.1 mg o más por 100 g</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"Alto en hierro" sin 4.2 mg o más medidos; "buena fuente de proteína" sin análisis</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Condiciones del Codex CXG 23 (documentos 03 y 06)</w:t>
            </w:r>
          </w:p>
        </w:tc>
      </w:tr>
      <w:tr>
        <w:trPr>
          <w:tblHeader w:val="false"/>
        </w:trPr>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"El hierro contribuye al transporte de oxígeno en el cuerpo", solo si es "fuente de hierro"</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"Mejora la concentración", "da energía", "rinde más en el colegio"</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Son efectos del producto que exigen evidencia [POR CONFIRMAR con un asesor]</w:t>
            </w:r>
          </w:p>
        </w:tc>
      </w:tr>
      <w:tr>
        <w:trPr>
          <w:tblHeader w:val="false"/>
        </w:trPr>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"Meta: 0 octógonos. Te contamos cómo vamos."</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"Sin octógonos" antes del análisis</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Sería falso hasta tener el resultado del laboratorio</w:t>
            </w:r>
          </w:p>
        </w:tc>
      </w:tr>
      <w:tr>
        <w:trPr>
          <w:tblHeader w:val="false"/>
        </w:trPr>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"Fórmula revisada por [nombre], CNP [número]", con contrato</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"Recomendado por pediatras"</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hay un estudio que lo respalde</w:t>
            </w:r>
          </w:p>
        </w:tc>
      </w:tr>
      <w:tr>
        <w:trPr>
          <w:tblHeader w:val="false"/>
        </w:trPr>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"Él ve un brownie", "lo que ya le gusta, con lo que le hace falta"</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"Engáñalo", "no se va a dar cuenta"</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insight es el camuflaje, pero decir "engañar al hijo" daña la confianza (documento 06)</w:t>
            </w:r>
          </w:p>
        </w:tc>
      </w:tr>
      <w:tr>
        <w:trPr>
          <w:tblHeader w:val="false"/>
        </w:trPr>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Frases al padre: "Pídelo por WhatsApp"</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Frases al niño: "¡Niños, pídanle a su mamá!", "¡Corre al stand!"</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Publicidad dirigida a menores de 16 años (Ley 30021, art. 8)</w:t>
            </w:r>
          </w:p>
        </w:tc>
      </w:tr>
      <w:tr>
        <w:trPr>
          <w:tblHeader w:val="false"/>
        </w:trPr>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Lonchera, semana, lote, cacao, cañihua, lúcuma</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Diminutivos en publicidad: "brownicito", "lonchercita"</w:t>
            </w:r>
          </w:p>
        </w:tc>
        <w:tc>
          <w:tcPr>
            <w:tcW w:type="dxa" w:w="312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Tono adulto (documento 06)</w:t>
            </w:r>
          </w:p>
        </w:tc>
      </w:tr>
      <w:tr>
        <w:trPr>
          <w:tblHeader w:val="false"/>
        </w:trPr>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"Caja reciclable", si lo es</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"Compostable", "eco" sin certificado</w:t>
            </w:r>
          </w:p>
        </w:tc>
        <w:tc>
          <w:tcPr>
            <w:tcW w:type="dxa" w:w="312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Sería greenwashing sancionable</w:t>
            </w:r>
          </w:p>
        </w:tc>
      </w:tr>
    </w:tbl>
    <w:p>
      <w:pPr>
        <w:spacing w:after="80"/>
      </w:pPr>
    </w:p>
    <w:p>
      <w:pPr>
        <w:pStyle w:val="Heading1"/>
      </w:pPr>
      <w:r>
        <w:t xml:space="preserve">6. Slogan y territorio</w:t>
      </w:r>
    </w:p>
    <w:p>
      <w:pPr>
        <w:spacing w:after="120"/>
      </w:pPr>
      <w:r>
        <w:rPr>
          <w:b/>
          <w:bCs/>
        </w:rPr>
        <w:t xml:space="preserve">Slogan (decidido en el #11): "Hierro medido. Sabor a brownie."</w:t>
      </w:r>
      <w:r>
        <w:t xml:space="preserve"> También es el mensaje central del plan. Vive en el empaque, el stand, el perfil de Instagram y el cierre de cada video.</w:t>
      </w:r>
    </w:p>
    <w:p>
      <w:pPr>
        <w:spacing w:after="120"/>
      </w:pPr>
      <w:r>
        <w:rPr>
          <w:b/>
          <w:bCs/>
        </w:rPr>
        <w:t xml:space="preserve">Territorio de marca (decidido en el #10): "Medido, no prometido."</w:t>
      </w:r>
      <w:r>
        <w:t xml:space="preserve"> Es la idea de fondo; no reemplaza al slogan. Se usa en el QR del reverso del empaque, en la transparencia de la app y en los posts de "Abre el laboratorio".</w:t>
      </w:r>
    </w:p>
    <w:p>
      <w:pPr>
        <w:spacing w:after="120"/>
      </w:pPr>
      <w:r>
        <w:t xml:space="preserve">Frases de marca disponibles (documento 06, sección 6.1, con AndiBite en lugar de Hemi):</w:t>
      </w:r>
    </w:p>
    <w:p>
      <w:pPr>
        <w:pStyle w:val="ListParagraph"/>
        <w:numPr>
          <w:ilvl w:val="0"/>
          <w:numId w:val="5"/>
        </w:numPr>
        <w:spacing w:after="60"/>
      </w:pPr>
      <w:r>
        <w:t xml:space="preserve">Hierro medido. Sabor a brownie.</w:t>
      </w:r>
    </w:p>
    <w:p>
      <w:pPr>
        <w:pStyle w:val="ListParagraph"/>
        <w:numPr>
          <w:ilvl w:val="0"/>
          <w:numId w:val="5"/>
        </w:numPr>
        <w:spacing w:after="60"/>
      </w:pPr>
      <w:r>
        <w:t xml:space="preserve">Medido, no prometido.</w:t>
      </w:r>
    </w:p>
    <w:p>
      <w:pPr>
        <w:pStyle w:val="ListParagraph"/>
        <w:numPr>
          <w:ilvl w:val="0"/>
          <w:numId w:val="5"/>
        </w:numPr>
        <w:spacing w:after="60"/>
      </w:pPr>
      <w:r>
        <w:t xml:space="preserve">Él ve un brownie. Tú ves el hierro medido de su lote. (Versión de HECHOS_v7. La cifra "1.9 mg" solo entra con el dato del laboratorio.)</w:t>
      </w:r>
    </w:p>
    <w:p>
      <w:pPr>
        <w:pStyle w:val="ListParagraph"/>
        <w:numPr>
          <w:ilvl w:val="0"/>
          <w:numId w:val="5"/>
        </w:numPr>
        <w:spacing w:after="60"/>
      </w:pPr>
      <w:r>
        <w:t xml:space="preserve">Lo que ya le gusta, con lo que le hace falta.</w:t>
      </w:r>
    </w:p>
    <w:p>
      <w:pPr>
        <w:pStyle w:val="ListParagraph"/>
        <w:numPr>
          <w:ilvl w:val="0"/>
          <w:numId w:val="5"/>
        </w:numPr>
        <w:spacing w:after="60"/>
      </w:pPr>
      <w:r>
        <w:t xml:space="preserve">Sí, tiene sangrecita. No, no se nota.</w:t>
      </w:r>
    </w:p>
    <w:p>
      <w:pPr>
        <w:pStyle w:val="ListParagraph"/>
        <w:numPr>
          <w:ilvl w:val="0"/>
          <w:numId w:val="5"/>
        </w:numPr>
        <w:spacing w:after="60"/>
      </w:pPr>
      <w:r>
        <w:t xml:space="preserve">Su lonchera del jueves, resuelta desde el domingo.</w:t>
      </w:r>
    </w:p>
    <w:p>
      <w:pPr>
        <w:pStyle w:val="ListParagraph"/>
        <w:numPr>
          <w:ilvl w:val="0"/>
          <w:numId w:val="5"/>
        </w:numPr>
        <w:spacing w:after="60"/>
      </w:pPr>
      <w:r>
        <w:t xml:space="preserve">El hierro es parte de lo que necesita para jugar y aprender. El brownie es la parte que se come. (Revisar con un asesor legal antes de pautar.)</w:t>
      </w:r>
    </w:p>
    <w:p>
      <w:pPr>
        <w:pStyle w:val="ListParagraph"/>
        <w:numPr>
          <w:ilvl w:val="0"/>
          <w:numId w:val="5"/>
        </w:numPr>
        <w:spacing w:after="60"/>
      </w:pPr>
      <w:r>
        <w:t xml:space="preserve">Cada lote, analizado. Cada análisis, publicado.</w:t>
      </w:r>
    </w:p>
    <w:p>
      <w:pPr>
        <w:pStyle w:val="ListParagraph"/>
        <w:numPr>
          <w:ilvl w:val="0"/>
          <w:numId w:val="5"/>
        </w:numPr>
        <w:spacing w:after="60"/>
      </w:pPr>
      <w:r>
        <w:t xml:space="preserve">Hoy tenemos un octógono. Nuestra meta es cero, y te contamos cómo vamos. (Solo si el análisis confirma el octógono.)</w:t>
      </w:r>
    </w:p>
    <w:p>
      <w:pPr>
        <w:pStyle w:val="ListParagraph"/>
        <w:numPr>
          <w:ilvl w:val="0"/>
          <w:numId w:val="5"/>
        </w:numPr>
        <w:spacing w:after="60"/>
      </w:pPr>
      <w:r>
        <w:t xml:space="preserve">Una mañana menos de negociar en la cocina.</w:t>
      </w:r>
    </w:p>
    <w:p>
      <w:pPr>
        <w:spacing w:after="120"/>
      </w:pPr>
      <w:r>
        <w:t xml:space="preserve">Otra frase de HECHOS_v7: "El snack de lonchera que tu hijo sí se come".</w:t>
      </w:r>
    </w:p>
    <w:p>
      <w:pPr>
        <w:pStyle w:val="Heading1"/>
      </w:pPr>
      <w:r>
        <w:t xml:space="preserve">7. Personaje Andi</w:t>
      </w:r>
    </w:p>
    <w:p>
      <w:pPr>
        <w:pStyle w:val="Heading2"/>
      </w:pPr>
      <w:r>
        <w:t xml:space="preserve">7.1 Quién es</w:t>
      </w:r>
    </w:p>
    <w:p>
      <w:pPr>
        <w:spacing w:after="120"/>
      </w:pPr>
      <w:r>
        <w:t xml:space="preserve">Andi es una llamita exploradora, blanca y crema, con mejillas rosadas y ojos grandes. Recorre los Andes en el modo niños de la app. Empieza sin ropa andina y gana piezas de su traje jugando: el chullo con 1 estrella, el poncho con 3, la mochila con 5 y la medalla de explorador con 8. Habla con frases de 5 palabras o menos y lee en voz alta para los niños que aún no leen (documento 09).</w:t>
      </w:r>
    </w:p>
    <w:p>
      <w:pPr>
        <w:pStyle w:val="Heading2"/>
      </w:pPr>
      <w:r>
        <w:t xml:space="preserve">7.2 Dónde sí y dónde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Sí se usa</w:t>
            </w:r>
          </w:p>
        </w:tc>
        <w:tc>
          <w:tcPr>
            <w:tcW w:type="dxa" w:w="468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No se usa</w:t>
            </w:r>
          </w:p>
        </w:tc>
      </w:tr>
      <w:tr>
        <w:trPr>
          <w:tblHeader w:val="false"/>
        </w:trPr>
        <w:tc>
          <w:tcPr>
            <w:tcW w:type="dxa" w:w="4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Modo niños "Misión Hierro": mapa (Cusco, Titicaca, Volcán Misti y Amazonía) y los 4 juegos</w:t>
            </w:r>
          </w:p>
        </w:tc>
        <w:tc>
          <w:tcPr>
            <w:tcW w:type="dxa" w:w="4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Empaque: ni en el frente ni en el reverso</w:t>
            </w:r>
          </w:p>
        </w:tc>
      </w:tr>
      <w:tr>
        <w:trPr>
          <w:tblHeader w:val="false"/>
        </w:trPr>
        <w:tc>
          <w:tcPr>
            <w:tcW w:type="dxa" w:w="4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Modo padres de la app, en pequeño, como compañía (saludo de inicio)</w:t>
            </w:r>
          </w:p>
        </w:tc>
        <w:tc>
          <w:tcPr>
            <w:tcW w:type="dxa" w:w="4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Pauta en redes, banners, habladores y cualquier pieza que muestre producto o precio</w:t>
            </w:r>
          </w:p>
        </w:tc>
      </w:tr>
      <w:tr>
        <w:trPr>
          <w:tblHeader w:val="false"/>
        </w:trPr>
        <w:tc>
          <w:tcPr>
            <w:tcW w:type="dxa" w:w="4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Contenido educativo general sobre el hierro: vitamina C, mitos y hábitos, sin mostrar el producto</w:t>
            </w:r>
          </w:p>
        </w:tc>
        <w:tc>
          <w:tcPr>
            <w:tcW w:type="dxa" w:w="4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Frases como "Andi dice: come AndiBite" o "Andi te recomienda"</w:t>
            </w:r>
          </w:p>
        </w:tc>
      </w:tr>
      <w:tr>
        <w:trPr>
          <w:tblHeader w:val="false"/>
        </w:trPr>
        <w:tc>
          <w:tcPr>
            <w:tcW w:type="dxa" w:w="4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Talleres y materiales para padres sobre loncheras</w:t>
            </w:r>
          </w:p>
        </w:tc>
        <w:tc>
          <w:tcPr>
            <w:tcW w:type="dxa" w:w="4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Disfraz o botarga en el stand, peluches o stickers de regalo por comprar</w:t>
            </w:r>
          </w:p>
        </w:tc>
      </w:tr>
      <w:tr>
        <w:trPr>
          <w:tblHeader w:val="false"/>
        </w:trPr>
        <w:tc>
          <w:tcPr>
            <w:tcW w:type="dxa" w:w="4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Material para colegios solo si no muestra el producto ni invita a comprar, y con revisión de Adela </w:t>
            </w:r>
            <w:r>
              <w:rPr>
                <w:b/>
                <w:bCs/>
                <w:sz w:val="19"/>
                <w:szCs w:val="19"/>
              </w:rPr>
              <w:t xml:space="preserve">[POR CONFIRMAR con un asesor]</w:t>
            </w:r>
          </w:p>
        </w:tc>
        <w:tc>
          <w:tcPr>
            <w:tcW w:type="dxa" w:w="4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Premios a niños por comprar o por escanear el brownie: en la app nada se desbloquea comprando</w:t>
            </w:r>
          </w:p>
        </w:tc>
      </w:tr>
    </w:tbl>
    <w:p>
      <w:pPr>
        <w:spacing w:after="80"/>
      </w:pPr>
    </w:p>
    <w:p>
      <w:pPr>
        <w:pStyle w:val="Heading2"/>
      </w:pPr>
      <w:r>
        <w:t xml:space="preserve">7.3 Por qué</w:t>
      </w:r>
    </w:p>
    <w:p>
      <w:pPr>
        <w:spacing w:after="120"/>
      </w:pPr>
      <w:r>
        <w:t xml:space="preserve">La Ley 30021 regula la publicidad de alimentos dirigida a menores de 16 años. El artículo 8 no permite usar premios o regalos para que el niño pida el producto, ni personajes que los niños admiren recomendando el producto. INDECOPI ya trató un personaje de dibujos animados como publicidad testimonial (CMS Grau). Por eso Andi enseña y no vende. La app lo cumple por diseño: el modo niños no muestra el producto, ni precios, ni botones de compra, y lo abre el padre con un candado y un tiempo de juego que él fija.</w:t>
      </w:r>
    </w:p>
    <w:p>
      <w:pPr>
        <w:spacing w:after="120"/>
      </w:pPr>
      <w:r>
        <w:t xml:space="preserve">El documento 06 pedía "sin mascotas" en la marca. Esto se mantiene: Andi no es la mascota de venta, es el guía de la parte educativa de la app.</w:t>
      </w:r>
    </w:p>
    <w:p>
      <w:pPr>
        <w:pStyle w:val="Heading1"/>
      </w:pPr>
      <w:r>
        <w:t xml:space="preserve">8. Estilo fotográfico y de piezas</w:t>
      </w:r>
    </w:p>
    <w:p>
      <w:pPr>
        <w:pStyle w:val="Heading2"/>
      </w:pPr>
      <w:r>
        <w:t xml:space="preserve">8.1 Reglas generales</w:t>
      </w:r>
    </w:p>
    <w:p>
      <w:pPr>
        <w:pStyle w:val="ListParagraph"/>
        <w:numPr>
          <w:ilvl w:val="0"/>
          <w:numId w:val="3"/>
        </w:numPr>
        <w:spacing w:after="60"/>
      </w:pPr>
      <w:r>
        <w:rPr>
          <w:b/>
          <w:bCs/>
        </w:rPr>
        <w:t xml:space="preserve">Luz:</w:t>
      </w:r>
      <w:r>
        <w:t xml:space="preserve"> natural y cálida, de mañana, con sombra suave.</w:t>
      </w:r>
    </w:p>
    <w:p>
      <w:pPr>
        <w:pStyle w:val="ListParagraph"/>
        <w:numPr>
          <w:ilvl w:val="0"/>
          <w:numId w:val="3"/>
        </w:numPr>
        <w:spacing w:after="60"/>
      </w:pPr>
      <w:r>
        <w:rPr>
          <w:b/>
          <w:bCs/>
        </w:rPr>
        <w:t xml:space="preserve">Fondos:</w:t>
      </w:r>
      <w:r>
        <w:t xml:space="preserve"> crema, madera clara, kraft o una cocina limeña real. Nada de fondos fríos o de clínica.</w:t>
      </w:r>
    </w:p>
    <w:p>
      <w:pPr>
        <w:pStyle w:val="ListParagraph"/>
        <w:numPr>
          <w:ilvl w:val="0"/>
          <w:numId w:val="3"/>
        </w:numPr>
        <w:spacing w:after="60"/>
      </w:pPr>
      <w:r>
        <w:rPr>
          <w:b/>
          <w:bCs/>
        </w:rPr>
        <w:t xml:space="preserve">Producto real.</w:t>
      </w:r>
      <w:r>
        <w:t xml:space="preserve"> Ninguna foto de venta muestra un brownie hecho con IA. La IA solo sirve para la escena, la luz o un boceto, y los textos se ponen después en Canva, porque la IA los deforma (documento 06).</w:t>
      </w:r>
    </w:p>
    <w:p>
      <w:pPr>
        <w:pStyle w:val="ListParagraph"/>
        <w:numPr>
          <w:ilvl w:val="0"/>
          <w:numId w:val="3"/>
        </w:numPr>
        <w:spacing w:after="60"/>
      </w:pPr>
      <w:r>
        <w:rPr>
          <w:b/>
          <w:bCs/>
        </w:rPr>
        <w:t xml:space="preserve">Octógono visible:</w:t>
      </w:r>
      <w:r>
        <w:t xml:space="preserve"> si el producto lleva "ALTO EN AZÚCAR", el octógono se ve en el pack de la foto (documento 03).</w:t>
      </w:r>
    </w:p>
    <w:p>
      <w:pPr>
        <w:pStyle w:val="ListParagraph"/>
        <w:numPr>
          <w:ilvl w:val="0"/>
          <w:numId w:val="3"/>
        </w:numPr>
        <w:spacing w:after="60"/>
      </w:pPr>
      <w:r>
        <w:rPr>
          <w:b/>
          <w:bCs/>
        </w:rPr>
        <w:t xml:space="preserve">Personas:</w:t>
      </w:r>
      <w:r>
        <w:t xml:space="preserve"> familias limeñas reales de NSE A y B, diversas. Manos de padres armando la lonchera. Sin estereotipos andinos ni escenas de "programa social".</w:t>
      </w:r>
    </w:p>
    <w:p>
      <w:pPr>
        <w:pStyle w:val="ListParagraph"/>
        <w:numPr>
          <w:ilvl w:val="0"/>
          <w:numId w:val="3"/>
        </w:numPr>
        <w:spacing w:after="60"/>
      </w:pPr>
      <w:r>
        <w:rPr>
          <w:b/>
          <w:bCs/>
        </w:rPr>
        <w:t xml:space="preserve">Niños:</w:t>
      </w:r>
      <w:r>
        <w:t xml:space="preserve"> pueden aparecer comiendo o jugando, pero no hablan a cámara ni recomiendan el producto. Solo con autorización firmada de sus padres (su imagen es un dato personal, Ley 29733).</w:t>
      </w:r>
    </w:p>
    <w:p>
      <w:pPr>
        <w:pStyle w:val="ListParagraph"/>
        <w:numPr>
          <w:ilvl w:val="0"/>
          <w:numId w:val="3"/>
        </w:numPr>
        <w:spacing w:after="60"/>
      </w:pPr>
      <w:r>
        <w:rPr>
          <w:b/>
          <w:bCs/>
        </w:rPr>
        <w:t xml:space="preserve">Lo que no va:</w:t>
      </w:r>
      <w:r>
        <w:t xml:space="preserve"> pastillas, jarabes, batas, sangre cruda, la bandera, personajes, platos de hígado como "lo malo" en primer plano.</w:t>
      </w:r>
    </w:p>
    <w:p>
      <w:pPr>
        <w:pStyle w:val="Heading2"/>
      </w:pPr>
      <w:r>
        <w:t xml:space="preserve">8.2 Stand</w:t>
      </w:r>
    </w:p>
    <w:p>
      <w:pPr>
        <w:pStyle w:val="ListParagraph"/>
        <w:numPr>
          <w:ilvl w:val="0"/>
          <w:numId w:val="3"/>
        </w:numPr>
        <w:spacing w:after="60"/>
      </w:pPr>
      <w:r>
        <w:t xml:space="preserve">Foto frontal del stand completo con el vendedor uniformado, el banner y los packs ordenados por color de sabor.</w:t>
      </w:r>
    </w:p>
    <w:p>
      <w:pPr>
        <w:pStyle w:val="ListParagraph"/>
        <w:numPr>
          <w:ilvl w:val="0"/>
          <w:numId w:val="3"/>
        </w:numPr>
        <w:spacing w:after="60"/>
      </w:pPr>
      <w:r>
        <w:t xml:space="preserve">Foto de detalle: la mano de un padre que escanea el QR con el celular.</w:t>
      </w:r>
    </w:p>
    <w:p>
      <w:pPr>
        <w:pStyle w:val="ListParagraph"/>
        <w:numPr>
          <w:ilvl w:val="0"/>
          <w:numId w:val="3"/>
        </w:numPr>
        <w:spacing w:after="60"/>
      </w:pPr>
      <w:r>
        <w:t xml:space="preserve">Foto de degustación: el vendedor le ofrece la muestra </w:t>
      </w:r>
      <w:r>
        <w:rPr>
          <w:b/>
          <w:bCs/>
        </w:rPr>
        <w:t xml:space="preserve">al padre</w:t>
      </w:r>
      <w:r>
        <w:t xml:space="preserve">, no al niño.</w:t>
      </w:r>
    </w:p>
    <w:p>
      <w:pPr>
        <w:pStyle w:val="Heading2"/>
      </w:pPr>
      <w:r>
        <w:t xml:space="preserve">8.3 Redes (Instagram y Facebook)</w:t>
      </w:r>
    </w:p>
    <w:p>
      <w:pPr>
        <w:pStyle w:val="ListParagraph"/>
        <w:numPr>
          <w:ilvl w:val="0"/>
          <w:numId w:val="3"/>
        </w:numPr>
        <w:spacing w:after="60"/>
      </w:pPr>
      <w:r>
        <w:rPr>
          <w:b/>
          <w:bCs/>
        </w:rPr>
        <w:t xml:space="preserve">Formatos:</w:t>
      </w:r>
      <w:r>
        <w:t xml:space="preserve"> feed en 4:5, a 1440 x 1800 píxeles. Historias y reels en 9:16, a 1440 x 2560 píxeles. En historias se dejan libres el 14 % de arriba, el 35 % de abajo y el 6 % de cada lado, para que el perfil y el botón no tapen el texto (guía de anuncios de Meta).</w:t>
      </w:r>
    </w:p>
    <w:p>
      <w:pPr>
        <w:pStyle w:val="ListParagraph"/>
        <w:numPr>
          <w:ilvl w:val="0"/>
          <w:numId w:val="3"/>
        </w:numPr>
        <w:spacing w:after="60"/>
      </w:pPr>
      <w:r>
        <w:rPr>
          <w:b/>
          <w:bCs/>
        </w:rPr>
        <w:t xml:space="preserve">Plantillas [PROPUESTA]:</w:t>
      </w:r>
      <w:r>
        <w:t xml:space="preserve"> fondo crema con título en Calibri negrita café; el dato en rojo ladrillo; el logo color abajo, siempre en el mismo lugar.</w:t>
      </w:r>
    </w:p>
    <w:p>
      <w:pPr>
        <w:pStyle w:val="ListParagraph"/>
        <w:numPr>
          <w:ilvl w:val="0"/>
          <w:numId w:val="3"/>
        </w:numPr>
        <w:spacing w:after="60"/>
      </w:pPr>
      <w:r>
        <w:rPr>
          <w:b/>
          <w:bCs/>
        </w:rPr>
        <w:t xml:space="preserve">Series del documento 06:</w:t>
      </w:r>
      <w:r>
        <w:t xml:space="preserve"> "La revelación" (padres prueban a ciegas y se revela la sangrecita), "Abre el laboratorio" (el informe del lote del mes) y "La lonchera del jueves" (5 loncheras armadas el domingo).</w:t>
      </w:r>
    </w:p>
    <w:p>
      <w:pPr>
        <w:pStyle w:val="ListParagraph"/>
        <w:numPr>
          <w:ilvl w:val="0"/>
          <w:numId w:val="3"/>
        </w:numPr>
        <w:spacing w:after="60"/>
      </w:pPr>
      <w:r>
        <w:rPr>
          <w:b/>
          <w:bCs/>
        </w:rPr>
        <w:t xml:space="preserve">Cierre de cada video:</w:t>
      </w:r>
      <w:r>
        <w:t xml:space="preserve"> el mensaje central, "Pídelo por WhatsApp" y el octógono si corresponde.</w:t>
      </w:r>
    </w:p>
    <w:p>
      <w:pPr>
        <w:pStyle w:val="Heading2"/>
      </w:pPr>
      <w:r>
        <w:t xml:space="preserve">8.4 Empaque (foto de producto)</w:t>
      </w:r>
    </w:p>
    <w:p>
      <w:pPr>
        <w:pStyle w:val="ListParagraph"/>
        <w:numPr>
          <w:ilvl w:val="0"/>
          <w:numId w:val="3"/>
        </w:numPr>
        <w:spacing w:after="60"/>
      </w:pPr>
      <w:r>
        <w:t xml:space="preserve">El pack de pie sobre crema o madera clara, con luz de la izquierda, y dos brownies al lado.</w:t>
      </w:r>
    </w:p>
    <w:p>
      <w:pPr>
        <w:pStyle w:val="ListParagraph"/>
        <w:numPr>
          <w:ilvl w:val="0"/>
          <w:numId w:val="3"/>
        </w:numPr>
        <w:spacing w:after="60"/>
      </w:pPr>
      <w:r>
        <w:t xml:space="preserve">En la caja de 12, foto desde arriba con la tapa abierta y el calendario de lonchera.</w:t>
      </w:r>
    </w:p>
    <w:p>
      <w:pPr>
        <w:pStyle w:val="ListParagraph"/>
        <w:numPr>
          <w:ilvl w:val="0"/>
          <w:numId w:val="3"/>
        </w:numPr>
        <w:spacing w:after="60"/>
      </w:pPr>
      <w:r>
        <w:t xml:space="preserve">Sobres individuales en fila, para mostrar los colores de Chispa, Andi y Lúcu.</w:t>
      </w:r>
    </w:p>
    <w:p>
      <w:pPr>
        <w:pStyle w:val="Heading1"/>
      </w:pPr>
      <w:r>
        <w:t xml:space="preserve">9. Aplicaciones</w:t>
      </w:r>
    </w:p>
    <w:p>
      <w:pPr>
        <w:pStyle w:val="Heading2"/>
      </w:pPr>
      <w:r>
        <w:t xml:space="preserve">9.1 Empaque</w:t>
      </w:r>
    </w:p>
    <w:p>
      <w:pPr>
        <w:spacing w:after="120"/>
      </w:pPr>
      <w:r>
        <w:rPr>
          <w:b/>
          <w:bCs/>
        </w:rPr>
        <w:t xml:space="preserve">Sticker actual (prototipo de evaluación, `assets/empaque/`):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7"/>
        <w:gridCol w:w="3847"/>
        <w:gridCol w:w="3846"/>
      </w:tblGrid>
      <w:tr>
        <w:trPr>
          <w:tblHeader/>
        </w:trPr>
        <w:tc>
          <w:tcPr>
            <w:tcW w:type="dxa" w:w="166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Pieza</w:t>
            </w:r>
          </w:p>
        </w:tc>
        <w:tc>
          <w:tcPr>
            <w:tcW w:type="dxa" w:w="384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Medida</w:t>
            </w:r>
          </w:p>
        </w:tc>
        <w:tc>
          <w:tcPr>
            <w:tcW w:type="dxa" w:w="384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lleva</w:t>
            </w:r>
          </w:p>
        </w:tc>
      </w:tr>
      <w:tr>
        <w:trPr>
          <w:tblHeader w:val="false"/>
        </w:trPr>
        <w:tc>
          <w:tcPr>
            <w:tcW w:type="dxa" w:w="16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Bolsa 1, kraft sin ventana</w:t>
            </w:r>
          </w:p>
        </w:tc>
        <w:tc>
          <w:tcPr>
            <w:tcW w:type="dxa" w:w="384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11.0 x 15.3 cm, 300 dpi</w:t>
            </w:r>
          </w:p>
        </w:tc>
        <w:tc>
          <w:tcPr>
            <w:tcW w:type="dxa" w:w="384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Frente: frase manuscrita "Lo bueno también puede ser delicioso", montañas y logo, "Mini Brownie Nutritivo", cinta "Sangrecita + Cañihua + Cacao" (el prototipo es del sabor Andi), ilustración, banda inferior con íconos y "Peso neto 120 g", pestaña "6 mini brownies". Reverso: "De nuestra tierra, a su lonchera", texto, íconos, paisaje y franja legal</w:t>
            </w:r>
          </w:p>
        </w:tc>
      </w:tr>
      <w:tr>
        <w:trPr>
          <w:tblHeader w:val="false"/>
        </w:trPr>
        <w:tc>
          <w:tcPr>
            <w:tcW w:type="dxa" w:w="16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Bolsa 2, kraft con ventana</w:t>
            </w:r>
          </w:p>
        </w:tc>
        <w:tc>
          <w:tcPr>
            <w:tcW w:type="dxa" w:w="384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14.2 x 21.4 cm; ventana de 13 x 4 cm a 5.5 cm del borde inferior [POR CONFIRMAR con la bolsa real]</w:t>
            </w:r>
          </w:p>
        </w:tc>
        <w:tc>
          <w:tcPr>
            <w:tcW w:type="dxa" w:w="384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Igual, con paisaje en lugar de la ilustración y la ventana para ver el producto</w:t>
            </w:r>
          </w:p>
        </w:tc>
      </w:tr>
      <w:tr>
        <w:trPr>
          <w:tblHeader w:val="false"/>
        </w:trPr>
        <w:tc>
          <w:tcPr>
            <w:tcW w:type="dxa" w:w="16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Hojas de impresión</w:t>
            </w:r>
          </w:p>
        </w:tc>
        <w:tc>
          <w:tcPr>
            <w:tcW w:type="dxa" w:w="384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A4: 2 stickers por hoja (bolsa 1) o 1 (bolsa 2), con marcas de corte</w:t>
            </w:r>
          </w:p>
        </w:tc>
        <w:tc>
          <w:tcPr>
            <w:tcW w:type="dxa" w:w="384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Imprimir al 100 %</w:t>
            </w:r>
          </w:p>
        </w:tc>
      </w:tr>
      <w:tr>
        <w:trPr>
          <w:tblHeader w:val="false"/>
        </w:trPr>
        <w:tc>
          <w:tcPr>
            <w:tcW w:type="dxa" w:w="16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Editables</w:t>
            </w:r>
          </w:p>
        </w:tc>
        <w:tc>
          <w:tcPr>
            <w:tcW w:type="dxa" w:w="384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Archivos PPTX para importar en Canva</w:t>
            </w:r>
          </w:p>
        </w:tc>
        <w:tc>
          <w:tcPr>
            <w:tcW w:type="dxa" w:w="384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Para cambiar textos sin rehacer el diseño</w:t>
            </w:r>
          </w:p>
        </w:tc>
      </w:tr>
    </w:tbl>
    <w:p>
      <w:pPr>
        <w:spacing w:after="80"/>
      </w:pPr>
    </w:p>
    <w:p>
      <w:pPr>
        <w:spacing w:after="120"/>
      </w:pPr>
      <w:r>
        <w:rPr>
          <w:b/>
          <w:bCs/>
        </w:rPr>
        <w:t xml:space="preserve">Lo que cambia en la versión de venta (empaque 2.0, documento 06, sección 5):</w:t>
      </w:r>
    </w:p>
    <w:p>
      <w:pPr>
        <w:pStyle w:val="ListParagraph"/>
        <w:numPr>
          <w:ilvl w:val="0"/>
          <w:numId w:val="6"/>
        </w:numPr>
        <w:spacing w:after="60"/>
      </w:pPr>
      <w:r>
        <w:t xml:space="preserve">Se retira la niña andina, por el riesgo de estereotipo y porque un personaje en el empaque le habla al niño.</w:t>
      </w:r>
    </w:p>
    <w:p>
      <w:pPr>
        <w:pStyle w:val="ListParagraph"/>
        <w:numPr>
          <w:ilvl w:val="0"/>
          <w:numId w:val="6"/>
        </w:numPr>
        <w:spacing w:after="60"/>
      </w:pPr>
      <w:r>
        <w:t xml:space="preserve">"Mini Brownie Nutritivo" pasa a "Mini brownies de cacao con sangrecita de res". El documento 06 dice "de pollo"; manda HECHOS_v7: res.</w:t>
      </w:r>
    </w:p>
    <w:p>
      <w:pPr>
        <w:pStyle w:val="ListParagraph"/>
        <w:numPr>
          <w:ilvl w:val="0"/>
          <w:numId w:val="6"/>
        </w:numPr>
        <w:spacing w:after="60"/>
      </w:pPr>
      <w:r>
        <w:t xml:space="preserve">Se retiran "Fuente de hierro" y "Buena fuente de proteína" hasta tener el análisis.</w:t>
      </w:r>
    </w:p>
    <w:p>
      <w:pPr>
        <w:pStyle w:val="ListParagraph"/>
        <w:numPr>
          <w:ilvl w:val="0"/>
          <w:numId w:val="6"/>
        </w:numPr>
        <w:spacing w:after="60"/>
      </w:pPr>
      <w:r>
        <w:t xml:space="preserve">La cinta "Sangrecita + Cañihua + Cacao" solo vale para el sabor Andi, porque Chispa y Lúcu no llevan cañihua. Cada sabor lleva su propia cinta y su banda de color.</w:t>
      </w:r>
    </w:p>
    <w:p>
      <w:pPr>
        <w:pStyle w:val="ListParagraph"/>
        <w:numPr>
          <w:ilvl w:val="0"/>
          <w:numId w:val="6"/>
        </w:numPr>
        <w:spacing w:after="60"/>
      </w:pPr>
      <w:r>
        <w:rPr>
          <w:b/>
          <w:bCs/>
        </w:rPr>
        <w:t xml:space="preserve">Frente, de arriba hacia abajo:</w:t>
      </w:r>
      <w:r>
        <w:t xml:space="preserve"> logo AndiBite (versión color) y, a la derecha, el octógono si el análisis lo exige; nombre del sabor en grande sobre su banda de color; ficha de hierro en miligramos (solo con el dato del laboratorio); ventana; "Hierro medido. Sabor a brownie."; base con "6 x 20 g · Peso neto 120 g".</w:t>
      </w:r>
    </w:p>
    <w:p>
      <w:pPr>
        <w:pStyle w:val="ListParagraph"/>
        <w:numPr>
          <w:ilvl w:val="0"/>
          <w:numId w:val="6"/>
        </w:numPr>
        <w:spacing w:after="60"/>
      </w:pPr>
      <w:r>
        <w:rPr>
          <w:b/>
          <w:bCs/>
        </w:rPr>
        <w:t xml:space="preserve">Reverso:</w:t>
      </w:r>
      <w:r>
        <w:t xml:space="preserve"> "Sí, tiene sangrecita. Por eso tiene hierro."; tabla nutricional (NTP 209.652:2025) por unidad y por 100 g; QR del lote con "Medido, no prometido. Escanea y mira el análisis de hierro de este lote."; ingredientes y alérgenos; datos legales (fabricante, titular, RS, lote, vencimiento, conservación, "Hecho en Perú").</w:t>
      </w:r>
    </w:p>
    <w:p>
      <w:pPr>
        <w:pStyle w:val="ListParagraph"/>
        <w:numPr>
          <w:ilvl w:val="0"/>
          <w:numId w:val="6"/>
        </w:numPr>
        <w:spacing w:after="60"/>
      </w:pPr>
      <w:r>
        <w:t xml:space="preserve">Se borra "Prototipo de evaluación, no destinado a la venta" solo cuando haya RS.</w:t>
      </w:r>
    </w:p>
    <w:p>
      <w:pPr>
        <w:spacing w:after="120"/>
      </w:pPr>
      <w:r>
        <w:rPr>
          <w:b/>
          <w:bCs/>
        </w:rPr>
        <w:t xml:space="preserve">Otras presentaciones:</w:t>
      </w:r>
      <w:r>
        <w:t xml:space="preserve"> unidad (sobre individual con la banda del sabor), caja de 3 sabores, pack de 6 y pack de 12 "Semana completa" (el documento 06 lo llamaba "Semana Hemi"), con el calendario de lonchera en la tapa interior.</w:t>
      </w:r>
    </w:p>
    <w:p>
      <w:pPr>
        <w:pStyle w:val="Heading2"/>
      </w:pPr>
      <w:r>
        <w:t xml:space="preserve">9.2 Stand o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48"/>
        <w:gridCol w:w="5912"/>
      </w:tblGrid>
      <w:tr>
        <w:trPr>
          <w:tblHeader/>
        </w:trPr>
        <w:tc>
          <w:tcPr>
            <w:tcW w:type="dxa" w:w="3448"/>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Elemento</w:t>
            </w:r>
          </w:p>
        </w:tc>
        <w:tc>
          <w:tcPr>
            <w:tcW w:type="dxa" w:w="5912"/>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Diseño</w:t>
            </w:r>
          </w:p>
        </w:tc>
      </w:tr>
      <w:tr>
        <w:trPr>
          <w:tblHeader w:val="false"/>
        </w:trPr>
        <w:tc>
          <w:tcPr>
            <w:tcW w:type="dxa" w:w="344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Banner de fondo</w:t>
            </w:r>
          </w:p>
        </w:tc>
        <w:tc>
          <w:tcPr>
            <w:tcW w:type="dxa" w:w="591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Fondo café oscuro 4A2018, logo en versión clara arriba, "Hierro medido. Sabor a brownie." en crema y el octógono si corresponde</w:t>
            </w:r>
          </w:p>
        </w:tc>
      </w:tr>
      <w:tr>
        <w:trPr>
          <w:tblHeader w:val="false"/>
        </w:trPr>
        <w:tc>
          <w:tcPr>
            <w:tcW w:type="dxa" w:w="344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Cartel del QR</w:t>
            </w:r>
          </w:p>
        </w:tc>
        <w:tc>
          <w:tcPr>
            <w:tcW w:type="dxa" w:w="591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"Escanea y mira el hierro de tu lote" (documento 10), con el QR grande, en fondo crema</w:t>
            </w:r>
          </w:p>
        </w:tc>
      </w:tr>
      <w:tr>
        <w:trPr>
          <w:tblHeader w:val="false"/>
        </w:trPr>
        <w:tc>
          <w:tcPr>
            <w:tcW w:type="dxa" w:w="344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Habladores de precio</w:t>
            </w:r>
          </w:p>
        </w:tc>
        <w:tc>
          <w:tcPr>
            <w:tcW w:type="dxa" w:w="591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Precio con IGV y precio por brownie: unidad S/6.00; caja de 3 S/16.50; pack de 6 S/27.90 (S/4.65 por brownie); pack de 12 S/51.90 (S/4.33 por brownie, cálculo: 51.90 entre 12)</w:t>
            </w:r>
          </w:p>
        </w:tc>
      </w:tr>
      <w:tr>
        <w:trPr>
          <w:tblHeader w:val="false"/>
        </w:trPr>
        <w:tc>
          <w:tcPr>
            <w:tcW w:type="dxa" w:w="344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Mantel y exhibidor</w:t>
            </w:r>
          </w:p>
        </w:tc>
        <w:tc>
          <w:tcPr>
            <w:tcW w:type="dxa" w:w="591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Mantel crema o kraft; packs ordenados por color de sabor: rojo, amarillo y caramelo</w:t>
            </w:r>
          </w:p>
        </w:tc>
      </w:tr>
      <w:tr>
        <w:trPr>
          <w:tblHeader w:val="false"/>
        </w:trPr>
        <w:tc>
          <w:tcPr>
            <w:tcW w:type="dxa" w:w="3448"/>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Tarjeta de embajadora</w:t>
            </w:r>
          </w:p>
        </w:tc>
        <w:tc>
          <w:tcPr>
            <w:tcW w:type="dxa" w:w="5912"/>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Tarjeta con código para el padre; el premio es para el padre, nunca para el niño</w:t>
            </w:r>
          </w:p>
        </w:tc>
      </w:tr>
      <w:tr>
        <w:trPr>
          <w:tblHeader w:val="false"/>
        </w:trPr>
        <w:tc>
          <w:tcPr>
            <w:tcW w:type="dxa" w:w="3448"/>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Carrito (Plaza Vea, Wong o Vivanda)</w:t>
            </w:r>
          </w:p>
        </w:tc>
        <w:tc>
          <w:tcPr>
            <w:tcW w:type="dxa" w:w="5912"/>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Melamina de 1.2 a 2 m con vitrina y gráfica (documento 08): costados en café oscuro con logo claro y frente en crema con el mensaje central. Medidas y reglas de cada mall o súper [POR CONFIRMAR]</w:t>
            </w:r>
          </w:p>
        </w:tc>
      </w:tr>
    </w:tbl>
    <w:p>
      <w:pPr>
        <w:spacing w:after="80"/>
      </w:pPr>
    </w:p>
    <w:p>
      <w:pPr>
        <w:spacing w:after="120"/>
      </w:pPr>
      <w:r>
        <w:t xml:space="preserve">El material de punto de venta cuesta S/400 (diciembre de 2026) y el material de ferias S/300 (enero de 2027), según el plan de marketing. Ambos están dentro del lanzamiento (S/3,204). El presupuesto de marketing mensual sigue siendo de S/900 (S/700 de pauta, degustación y material más S/200 de embajadoras). El total del plan es S/24,544: S/10,800 de los S/900 de 2027, S/3,204 de lanzamiento, S/4,140 de 2 ferias y S/6,400 de 40 eventos (desglose en el tema #17).</w:t>
      </w:r>
    </w:p>
    <w:p>
      <w:pPr>
        <w:pStyle w:val="Heading2"/>
      </w:pPr>
      <w:r>
        <w:t xml:space="preserve">9.3 Redes</w:t>
      </w:r>
    </w:p>
    <w:p>
      <w:pPr>
        <w:pStyle w:val="ListParagraph"/>
        <w:numPr>
          <w:ilvl w:val="0"/>
          <w:numId w:val="3"/>
        </w:numPr>
        <w:spacing w:after="60"/>
      </w:pPr>
      <w:r>
        <w:rPr>
          <w:b/>
          <w:bCs/>
        </w:rPr>
        <w:t xml:space="preserve">Perfil:</w:t>
      </w:r>
      <w:r>
        <w:t xml:space="preserve"> logo color sobre crema. Nombre de usuario [POR CONFIRMAR; el documento 06 no pudo verificar Instagram].</w:t>
      </w:r>
    </w:p>
    <w:p>
      <w:pPr>
        <w:pStyle w:val="ListParagraph"/>
        <w:numPr>
          <w:ilvl w:val="0"/>
          <w:numId w:val="3"/>
        </w:numPr>
        <w:spacing w:after="60"/>
      </w:pPr>
      <w:r>
        <w:rPr>
          <w:b/>
          <w:bCs/>
        </w:rPr>
        <w:t xml:space="preserve">Biografía [PROPUESTA]:</w:t>
      </w:r>
      <w:r>
        <w:t xml:space="preserve"> "Mini brownies con sangrecita. Hierro medido en cada lote. Stands en Lima y recompra por WhatsApp." Con el enlace a WhatsApp.</w:t>
      </w:r>
    </w:p>
    <w:p>
      <w:pPr>
        <w:pStyle w:val="ListParagraph"/>
        <w:numPr>
          <w:ilvl w:val="0"/>
          <w:numId w:val="3"/>
        </w:numPr>
        <w:spacing w:after="60"/>
      </w:pPr>
      <w:r>
        <w:rPr>
          <w:b/>
          <w:bCs/>
        </w:rPr>
        <w:t xml:space="preserve">Publicaciones:</w:t>
      </w:r>
      <w:r>
        <w:t xml:space="preserve"> según la sección 8.3. Cada pieza pasa el checklist de la sección 11 antes de pautar.</w:t>
      </w:r>
    </w:p>
    <w:p>
      <w:pPr>
        <w:pStyle w:val="Heading2"/>
      </w:pPr>
      <w:r>
        <w:t xml:space="preserve">9.4 WhatsApp Business</w:t>
      </w:r>
    </w:p>
    <w:p>
      <w:pPr>
        <w:pStyle w:val="ListParagraph"/>
        <w:numPr>
          <w:ilvl w:val="0"/>
          <w:numId w:val="3"/>
        </w:numPr>
        <w:spacing w:after="60"/>
      </w:pPr>
      <w:r>
        <w:rPr>
          <w:b/>
          <w:bCs/>
        </w:rPr>
        <w:t xml:space="preserve">Foto de perfil [PROPUESTA]:</w:t>
      </w:r>
      <w:r>
        <w:t xml:space="preserve"> logo color centrado sobre crema, con su área de protección, para que entre en el círculo.</w:t>
      </w:r>
    </w:p>
    <w:p>
      <w:pPr>
        <w:pStyle w:val="ListParagraph"/>
        <w:numPr>
          <w:ilvl w:val="0"/>
          <w:numId w:val="3"/>
        </w:numPr>
        <w:spacing w:after="60"/>
      </w:pPr>
      <w:r>
        <w:rPr>
          <w:b/>
          <w:bCs/>
        </w:rPr>
        <w:t xml:space="preserve">Catálogo con los precios de WhatsApp:</w:t>
      </w:r>
      <w:r>
        <w:t xml:space="preserve"> caja de 3 S/12.00; pack de 6 S/26.90; pack de 12 S/49.90. La unidad no se vende por este canal.</w:t>
      </w:r>
    </w:p>
    <w:p>
      <w:pPr>
        <w:pStyle w:val="ListParagraph"/>
        <w:numPr>
          <w:ilvl w:val="0"/>
          <w:numId w:val="3"/>
        </w:numPr>
        <w:spacing w:after="60"/>
      </w:pPr>
      <w:r>
        <w:rPr>
          <w:b/>
          <w:bCs/>
        </w:rPr>
        <w:t xml:space="preserve">Mensaje de bienvenida [PROPUESTA]:</w:t>
      </w:r>
      <w:r>
        <w:t xml:space="preserve"> "Hola, somos AndiBite. Mini brownies con sangrecita y el hierro medido de cada lote. Entregamos 2 días por semana o puedes recoger en el stand. ¿Qué pack te separamos?"</w:t>
      </w:r>
    </w:p>
    <w:p>
      <w:pPr>
        <w:pStyle w:val="ListParagraph"/>
        <w:numPr>
          <w:ilvl w:val="0"/>
          <w:numId w:val="3"/>
        </w:numPr>
        <w:spacing w:after="60"/>
      </w:pPr>
      <w:r>
        <w:rPr>
          <w:b/>
          <w:bCs/>
        </w:rPr>
        <w:t xml:space="preserve">Recordatorio de recompra</w:t>
      </w:r>
      <w:r>
        <w:t xml:space="preserve"> (solo a quien dio permiso): "¿Repetimos el pack de 12 el jueves? Te lo llevamos o lo recoges en el stand."</w:t>
      </w:r>
    </w:p>
    <w:p>
      <w:pPr>
        <w:pStyle w:val="ListParagraph"/>
        <w:numPr>
          <w:ilvl w:val="0"/>
          <w:numId w:val="3"/>
        </w:numPr>
        <w:spacing w:after="60"/>
      </w:pPr>
      <w:r>
        <w:rPr>
          <w:b/>
          <w:bCs/>
        </w:rPr>
        <w:t xml:space="preserve">Reglas:</w:t>
      </w:r>
      <w:r>
        <w:t xml:space="preserve"> solo se guarda el número de quien acepta y se puede salir con un mensaje (Ley 29733). Mismo tono que el resto de la marca: de tú, corto y sin presión.</w:t>
      </w:r>
    </w:p>
    <w:p>
      <w:pPr>
        <w:pStyle w:val="Heading2"/>
      </w:pPr>
      <w:r>
        <w:t xml:space="preserve">9.5 Uniforme del vendedor [PROPUESTA]</w:t>
      </w:r>
    </w:p>
    <w:p>
      <w:pPr>
        <w:pStyle w:val="ListParagraph"/>
        <w:numPr>
          <w:ilvl w:val="0"/>
          <w:numId w:val="3"/>
        </w:numPr>
        <w:spacing w:after="60"/>
      </w:pPr>
      <w:r>
        <w:t xml:space="preserve">Polo o camisero café oscuro 4A2018, con el logo en versión clara en el pecho izquierdo (8 cm de ancho) y "Hierro medido. Sabor a brownie." en crema en la espalda.</w:t>
      </w:r>
    </w:p>
    <w:p>
      <w:pPr>
        <w:pStyle w:val="ListParagraph"/>
        <w:numPr>
          <w:ilvl w:val="0"/>
          <w:numId w:val="3"/>
        </w:numPr>
        <w:spacing w:after="60"/>
      </w:pPr>
      <w:r>
        <w:t xml:space="preserve">Mandil crema o kraft con el logo color, y gorro o toca, porque el vendedor manipula alimentos (el carné de sanidad es requisito para contratar).</w:t>
      </w:r>
    </w:p>
    <w:p>
      <w:pPr>
        <w:pStyle w:val="ListParagraph"/>
        <w:numPr>
          <w:ilvl w:val="0"/>
          <w:numId w:val="3"/>
        </w:numPr>
        <w:spacing w:after="60"/>
      </w:pPr>
      <w:r>
        <w:t xml:space="preserve">Fotocheck con el nombre, en el logo de una tinta.</w:t>
      </w:r>
    </w:p>
    <w:p>
      <w:pPr>
        <w:pStyle w:val="ListParagraph"/>
        <w:numPr>
          <w:ilvl w:val="0"/>
          <w:numId w:val="3"/>
        </w:numPr>
        <w:spacing w:after="60"/>
      </w:pPr>
      <w:r>
        <w:t xml:space="preserve">Sin Andi en el uniforme y sin disfraz.</w:t>
      </w:r>
    </w:p>
    <w:p>
      <w:pPr>
        <w:pStyle w:val="ListParagraph"/>
        <w:numPr>
          <w:ilvl w:val="0"/>
          <w:numId w:val="3"/>
        </w:numPr>
        <w:spacing w:after="60"/>
      </w:pPr>
      <w:r>
        <w:t xml:space="preserve">Costo [POR CONFIRMAR con cotización y si entra en el rubro de material del plan].</w:t>
      </w:r>
    </w:p>
    <w:p>
      <w:pPr>
        <w:pStyle w:val="Heading1"/>
      </w:pPr>
      <w:r>
        <w:t xml:space="preserve">10. Plantilla de la presentación del T2</w:t>
      </w:r>
    </w:p>
    <w:p>
      <w:pPr>
        <w:spacing w:after="120"/>
      </w:pPr>
      <w:r>
        <w:t xml:space="preserve">Se entrega aparte: </w:t>
      </w:r>
      <w:r>
        <w:rPr>
          <w:rFonts w:ascii="Consolas" w:cs="Consolas" w:eastAsia="Consolas" w:hAnsi="Consolas"/>
          <w:color w:val="4A2018"/>
          <w:sz w:val="19"/>
          <w:szCs w:val="19"/>
        </w:rPr>
        <w:t xml:space="preserve">04-reformulacion/T2/T2_12_Plantilla-PPT-AndiBite.pptx</w:t>
      </w:r>
      <w:r>
        <w:t xml:space="preserve"> (7 diapositivas de ejemplo), generada con </w:t>
      </w:r>
      <w:r>
        <w:rPr>
          <w:rFonts w:ascii="Consolas" w:cs="Consolas" w:eastAsia="Consolas" w:hAnsi="Consolas"/>
          <w:color w:val="4A2018"/>
          <w:sz w:val="19"/>
          <w:szCs w:val="19"/>
        </w:rPr>
        <w:t xml:space="preserve">04-reformulacion/T2/fuente/ppt/plantilla.js</w:t>
      </w:r>
      <w:r>
        <w:t xml:space="preserve">. Es la misma base visual de la TC5-8.</w:t>
      </w:r>
    </w:p>
    <w:p>
      <w:pPr>
        <w:pStyle w:val="Heading2"/>
      </w:pPr>
      <w:r>
        <w:t xml:space="preserve">10.1 Tema</w:t>
      </w:r>
    </w:p>
    <w:p>
      <w:pPr>
        <w:pStyle w:val="ListParagraph"/>
        <w:numPr>
          <w:ilvl w:val="0"/>
          <w:numId w:val="3"/>
        </w:numPr>
        <w:spacing w:after="60"/>
      </w:pPr>
      <w:r>
        <w:t xml:space="preserve">Formato panorámico 16:9 (13.33 x 7.5 pulgadas).</w:t>
      </w:r>
    </w:p>
    <w:p>
      <w:pPr>
        <w:pStyle w:val="ListParagraph"/>
        <w:numPr>
          <w:ilvl w:val="0"/>
          <w:numId w:val="3"/>
        </w:numPr>
        <w:spacing w:after="60"/>
      </w:pPr>
      <w:r>
        <w:t xml:space="preserve">Calibri en títulos y en texto.</w:t>
      </w:r>
    </w:p>
    <w:p>
      <w:pPr>
        <w:pStyle w:val="ListParagraph"/>
        <w:numPr>
          <w:ilvl w:val="0"/>
          <w:numId w:val="3"/>
        </w:numPr>
        <w:spacing w:after="60"/>
      </w:pPr>
      <w:r>
        <w:t xml:space="preserve">Colores del tema: los 9 de la sección 3.1. Fondo de contenido crema FBF3E8; títulos café oscuro 4A2018 en Calibri negrita; acento rojo ladrillo BA4036.</w:t>
      </w:r>
    </w:p>
    <w:p>
      <w:pPr>
        <w:pStyle w:val="Heading2"/>
      </w:pPr>
      <w:r>
        <w:t xml:space="preserve">10.2 Diapositivas maestras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5"/>
        <w:gridCol w:w="1910"/>
        <w:gridCol w:w="6365"/>
      </w:tblGrid>
      <w:tr>
        <w:trPr>
          <w:tblHeader/>
        </w:trPr>
        <w:tc>
          <w:tcPr>
            <w:tcW w:type="dxa" w:w="108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Maestra</w:t>
            </w:r>
          </w:p>
        </w:tc>
        <w:tc>
          <w:tcPr>
            <w:tcW w:type="dxa" w:w="191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Fondo</w:t>
            </w:r>
          </w:p>
        </w:tc>
        <w:tc>
          <w:tcPr>
            <w:tcW w:type="dxa" w:w="636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lleva</w:t>
            </w:r>
          </w:p>
        </w:tc>
      </w:tr>
      <w:tr>
        <w:trPr>
          <w:tblHeader w:val="false"/>
        </w:trPr>
        <w:tc>
          <w:tcPr>
            <w:tcW w:type="dxa" w:w="10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Portada</w:t>
            </w:r>
          </w:p>
        </w:tc>
        <w:tc>
          <w:tcPr>
            <w:tcW w:type="dxa" w:w="191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Café oscuro 4A2018</w:t>
            </w:r>
          </w:p>
        </w:tc>
        <w:tc>
          <w:tcPr>
            <w:tcW w:type="dxa" w:w="636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Logo en versión clara grande arriba a la izquierda; título de 40 pt en crema; subtítulo de 18 pt en arena; nombres del Grupo 2, curso y profesora; foto del empaque a la derecha, un poco girada</w:t>
            </w:r>
          </w:p>
        </w:tc>
      </w:tr>
      <w:tr>
        <w:trPr>
          <w:tblHeader w:val="false"/>
        </w:trPr>
        <w:tc>
          <w:tcPr>
            <w:tcW w:type="dxa" w:w="10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Sección</w:t>
            </w:r>
          </w:p>
        </w:tc>
        <w:tc>
          <w:tcPr>
            <w:tcW w:type="dxa" w:w="191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Café oscuro 4A2018</w:t>
            </w:r>
          </w:p>
        </w:tc>
        <w:tc>
          <w:tcPr>
            <w:tcW w:type="dxa" w:w="636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Número de sección grande (120 pt) en rojo ladrillo; título de 44 pt en crema; subtítulo en arena; círculo café medio con un ícono; logo claro abajo a la izquierda</w:t>
            </w:r>
          </w:p>
        </w:tc>
      </w:tr>
      <w:tr>
        <w:trPr>
          <w:tblHeader w:val="false"/>
        </w:trPr>
        <w:tc>
          <w:tcPr>
            <w:tcW w:type="dxa" w:w="10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Contenido</w:t>
            </w:r>
          </w:p>
        </w:tc>
        <w:tc>
          <w:tcPr>
            <w:tcW w:type="dxa" w:w="191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Crema FBF3E8</w:t>
            </w:r>
          </w:p>
        </w:tc>
        <w:tc>
          <w:tcPr>
            <w:tcW w:type="dxa" w:w="636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Kicker de 12 pt en rojo ladrillo y mayúsculas; título de 34 pt en Calibri negrita café oscuro; pie "AndiBite · Grupo 2 · T2 Plan de marketing" de 10 pt en café medio; logo color abajo a la derecha (2.4 cm de ancho) y número de diapositiva</w:t>
            </w:r>
          </w:p>
        </w:tc>
      </w:tr>
      <w:tr>
        <w:trPr>
          <w:tblHeader w:val="false"/>
        </w:trPr>
        <w:tc>
          <w:tcPr>
            <w:tcW w:type="dxa" w:w="10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Cierre</w:t>
            </w:r>
          </w:p>
        </w:tc>
        <w:tc>
          <w:tcPr>
            <w:tcW w:type="dxa" w:w="191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Café oscuro 4A2018</w:t>
            </w:r>
          </w:p>
        </w:tc>
        <w:tc>
          <w:tcPr>
            <w:tcW w:type="dxa" w:w="636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Etiqueta "SLOGAN" en dorado; título de 48 pt con el slogan "Hierro medido. Sabor a brownie."; frase de cierre en arena; foto del empaque a la derecha</w:t>
            </w:r>
          </w:p>
        </w:tc>
      </w:tr>
    </w:tbl>
    <w:p>
      <w:pPr>
        <w:spacing w:after="80"/>
      </w:pPr>
    </w:p>
    <w:p>
      <w:pPr>
        <w:pStyle w:val="Heading2"/>
      </w:pPr>
      <w:r>
        <w:t xml:space="preserve">10.3 Diseños de contenido de ejemplo</w:t>
      </w:r>
    </w:p>
    <w:p>
      <w:pPr>
        <w:pStyle w:val="ListParagraph"/>
        <w:numPr>
          <w:ilvl w:val="0"/>
          <w:numId w:val="7"/>
        </w:numPr>
        <w:spacing w:after="60"/>
      </w:pPr>
      <w:r>
        <w:rPr>
          <w:b/>
          <w:bCs/>
        </w:rPr>
        <w:t xml:space="preserve">Viñetas con dato clave:</w:t>
      </w:r>
      <w:r>
        <w:t xml:space="preserve"> tarjeta blanca con hasta 3 viñetas y, a la derecha, una tarjeta café con el dato grande y su fuente.</w:t>
      </w:r>
    </w:p>
    <w:p>
      <w:pPr>
        <w:pStyle w:val="ListParagraph"/>
        <w:numPr>
          <w:ilvl w:val="0"/>
          <w:numId w:val="7"/>
        </w:numPr>
        <w:spacing w:after="60"/>
      </w:pPr>
      <w:r>
        <w:rPr>
          <w:b/>
          <w:bCs/>
        </w:rPr>
        <w:t xml:space="preserve">Tres tarjetas:</w:t>
      </w:r>
      <w:r>
        <w:t xml:space="preserve"> tres ideas con ícono; la del centro va resaltada en rojo ladrillo.</w:t>
      </w:r>
    </w:p>
    <w:p>
      <w:pPr>
        <w:pStyle w:val="ListParagraph"/>
        <w:numPr>
          <w:ilvl w:val="0"/>
          <w:numId w:val="7"/>
        </w:numPr>
        <w:spacing w:after="60"/>
      </w:pPr>
      <w:r>
        <w:rPr>
          <w:b/>
          <w:bCs/>
        </w:rPr>
        <w:t xml:space="preserve">Tabla:</w:t>
      </w:r>
      <w:r>
        <w:t xml:space="preserve"> encabezado café 4A2018, filas que alternan crema y blanco, y una franja de conclusión abajo.</w:t>
      </w:r>
    </w:p>
    <w:p>
      <w:pPr>
        <w:pStyle w:val="ListParagraph"/>
        <w:numPr>
          <w:ilvl w:val="0"/>
          <w:numId w:val="7"/>
        </w:numPr>
        <w:spacing w:after="60"/>
      </w:pPr>
      <w:r>
        <w:rPr>
          <w:b/>
          <w:bCs/>
        </w:rPr>
        <w:t xml:space="preserve">Gráfico:</w:t>
      </w:r>
      <w:r>
        <w:t xml:space="preserve"> gráfico nativo de PowerPoint (se edita con clic derecho, "Editar datos") en rojo ladrillo, con una caja de lectura al lado.</w:t>
      </w:r>
    </w:p>
    <w:p>
      <w:pPr>
        <w:pStyle w:val="Heading2"/>
      </w:pPr>
      <w:r>
        <w:t xml:space="preserve">10.4 Reglas de uso</w:t>
      </w:r>
    </w:p>
    <w:p>
      <w:pPr>
        <w:pStyle w:val="ListParagraph"/>
        <w:numPr>
          <w:ilvl w:val="0"/>
          <w:numId w:val="3"/>
        </w:numPr>
        <w:spacing w:after="60"/>
      </w:pPr>
      <w:r>
        <w:t xml:space="preserve">Una idea por diapositiva; título de 50 caracteres como máximo.</w:t>
      </w:r>
    </w:p>
    <w:p>
      <w:pPr>
        <w:pStyle w:val="ListParagraph"/>
        <w:numPr>
          <w:ilvl w:val="0"/>
          <w:numId w:val="3"/>
        </w:numPr>
        <w:spacing w:after="60"/>
      </w:pPr>
      <w:r>
        <w:t xml:space="preserve">Todo dato lleva su fuente y año en la misma diapositiva.</w:t>
      </w:r>
    </w:p>
    <w:p>
      <w:pPr>
        <w:pStyle w:val="ListParagraph"/>
        <w:numPr>
          <w:ilvl w:val="0"/>
          <w:numId w:val="3"/>
        </w:numPr>
        <w:spacing w:after="60"/>
      </w:pPr>
      <w:r>
        <w:t xml:space="preserve">No mover el logo ni el pie. No cambiar los colores del tema.</w:t>
      </w:r>
    </w:p>
    <w:p>
      <w:pPr>
        <w:pStyle w:val="ListParagraph"/>
        <w:numPr>
          <w:ilvl w:val="0"/>
          <w:numId w:val="3"/>
        </w:numPr>
        <w:spacing w:after="60"/>
      </w:pPr>
      <w:r>
        <w:t xml:space="preserve">Las notas del orador dicen qué se puede cambiar en cada diapositiva.</w:t>
      </w:r>
    </w:p>
    <w:p>
      <w:pPr>
        <w:pStyle w:val="ListParagraph"/>
        <w:numPr>
          <w:ilvl w:val="0"/>
          <w:numId w:val="3"/>
        </w:numPr>
        <w:spacing w:after="60"/>
      </w:pPr>
      <w:r>
        <w:t xml:space="preserve">La portada y el cierre usan hoy la foto del sticker actual, que tiene la niña andina. Se cambia por la foto del empaque 2.0 cuando exista.</w:t>
      </w:r>
    </w:p>
    <w:p>
      <w:pPr>
        <w:pStyle w:val="Heading1"/>
      </w:pPr>
      <w:r>
        <w:t xml:space="preserve">11. Checklist legal de las piezas</w:t>
      </w:r>
    </w:p>
    <w:p>
      <w:pPr>
        <w:spacing w:after="120"/>
      </w:pPr>
      <w:r>
        <w:t xml:space="preserve">Cada pieza (empaque, POP, publicación, video, mensaje de WhatsApp) pasa esta lista antes de imprimirse o pautarse. Diseña Angie; revisa Adela (regulación y legal); Carlos confirma los precios.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6"/>
        <w:gridCol w:w="3324"/>
        <w:gridCol w:w="3324"/>
        <w:gridCol w:w="1716"/>
      </w:tblGrid>
      <w:tr>
        <w:trPr>
          <w:tblHeader/>
        </w:trPr>
        <w:tc>
          <w:tcPr>
            <w:tcW w:type="dxa" w:w="99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w:t>
            </w:r>
          </w:p>
        </w:tc>
        <w:tc>
          <w:tcPr>
            <w:tcW w:type="dxa" w:w="332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Pregunta</w:t>
            </w:r>
          </w:p>
        </w:tc>
        <w:tc>
          <w:tcPr>
            <w:tcW w:type="dxa" w:w="332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Norma</w:t>
            </w:r>
          </w:p>
        </w:tc>
        <w:tc>
          <w:tcPr>
            <w:tcW w:type="dxa" w:w="171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Si la respuesta es no</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pieza le habla al padre y no al niño?</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Ley 30021, art. 8 (menores de 16 años)</w:t>
            </w:r>
          </w:p>
        </w:tc>
        <w:tc>
          <w:tcPr>
            <w:tcW w:type="dxa" w:w="17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 rehace</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aparece Andi ni otro personaje recomendando el producto?</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Ley 30021, art. 8</w:t>
            </w:r>
          </w:p>
        </w:tc>
        <w:tc>
          <w:tcPr>
            <w:tcW w:type="dxa" w:w="17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Se quita el personaje</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hay regalos ni premios para niños por comprar? ¿Las muestras se dan al padre y no en la puerta del colegio?</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Ley 30021</w:t>
            </w:r>
          </w:p>
        </w:tc>
        <w:tc>
          <w:tcPr>
            <w:tcW w:type="dxa" w:w="17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 cambia la mecánica</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Si sale el producto, ¿se ve el octógono "ALTO EN AZÚCAR – Evitar su consumo excesivo", con el tamaño y el lugar que pide el Manual?</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Ley 30021, art. 10; D.S. 012-2018-SA y D.S. 017-2023-SA; Ley 31919 (adhesivo para MYPE)</w:t>
            </w:r>
          </w:p>
        </w:tc>
        <w:tc>
          <w:tcPr>
            <w:tcW w:type="dxa" w:w="17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se publica</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¿El octógono queda sin tapar por la ventana, stickers u otros textos?</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Ley 31919</w:t>
            </w:r>
          </w:p>
        </w:tc>
        <w:tc>
          <w:tcPr>
            <w:tcW w:type="dxa" w:w="17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 mueve</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¿Toda cifra de hierro sale del informe del laboratorio del lote?</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Codex CXG 23; D. Leg. 1044 (veracidad)</w:t>
            </w:r>
          </w:p>
        </w:tc>
        <w:tc>
          <w:tcPr>
            <w:tcW w:type="dxa" w:w="17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Se quita la cifra</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7</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¿"Fuente de hierro" solo aparece si el laboratorio dio 2.1 mg o más por 100 g, con la tabla nutricional?</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Codex CXG 23; NTP 209.652:2025</w:t>
            </w:r>
          </w:p>
        </w:tc>
        <w:tc>
          <w:tcPr>
            <w:tcW w:type="dxa" w:w="17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 quita la frase</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8</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dice "previene", "combate" ni "cura la anemia", ni promete concentración o rendimiento escolar?</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 Leg. 1044; INDECOPI</w:t>
            </w:r>
          </w:p>
        </w:tc>
        <w:tc>
          <w:tcPr>
            <w:tcW w:type="dxa" w:w="17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Se corrige el texto</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9</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¿"Sin octógonos" aparece solo como meta, hasta tener el análisis?</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 Leg. 1044</w:t>
            </w:r>
          </w:p>
        </w:tc>
        <w:tc>
          <w:tcPr>
            <w:tcW w:type="dxa" w:w="17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 cambia a "Meta: 0 octógonos"</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10</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dice "recomendado por pediatras" ni usa a un profesional sin contrato y sin su número del CNP?</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 Leg. 1044</w:t>
            </w:r>
          </w:p>
        </w:tc>
        <w:tc>
          <w:tcPr>
            <w:tcW w:type="dxa" w:w="17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Se quita</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11</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¿Los precios son los de la lista vigente, con IGV, y las condiciones están claras (por ejemplo, el delivery gratis desde 2 packs)?</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Código del Consumidor, Ley 29571</w:t>
            </w:r>
          </w:p>
        </w:tc>
        <w:tc>
          <w:tcPr>
            <w:tcW w:type="dxa" w:w="17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 corrigen</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12</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¿Los niños que salen en fotos o videos tienen la autorización firmada de sus padres y no hablan a cámara?</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Ley 29733; criterio prudente con la Ley 30021</w:t>
            </w:r>
          </w:p>
        </w:tc>
        <w:tc>
          <w:tcPr>
            <w:tcW w:type="dxa" w:w="17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se publica</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13</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¿Los contactos de WhatsApp dieron permiso y pueden salir de la lista?</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Ley 29733</w:t>
            </w:r>
          </w:p>
        </w:tc>
        <w:tc>
          <w:tcPr>
            <w:tcW w:type="dxa" w:w="17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 borra el contacto</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14</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nombre está escrito "AndiBite" y no se usa ® antes del registro? ¿Se hizo la búsqueda fonética en INDECOPI y la solicitud en la clase 30 (S/401.20 con descuento MYPE) antes de imprimir en volumen?</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INDECOPI (documento 03, 4.4)</w:t>
            </w:r>
          </w:p>
        </w:tc>
        <w:tc>
          <w:tcPr>
            <w:tcW w:type="dxa" w:w="17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se imprime en volumen</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15</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En el empaque, ¿están el RS, el lote, el vencimiento, los alérgenos, el peso neto, el fabricante, el titular y "Hecho en Perú"?</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D.S. 007-98-SA, art. 117; NTP 209.652:2025</w:t>
            </w:r>
          </w:p>
        </w:tc>
        <w:tc>
          <w:tcPr>
            <w:tcW w:type="dxa" w:w="17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sale a la venta</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16</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 colegios, ¿solo entra al quiosco la versión sin octógono?</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RM 195-2019-MINSA</w:t>
            </w:r>
          </w:p>
        </w:tc>
        <w:tc>
          <w:tcPr>
            <w:tcW w:type="dxa" w:w="17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se ofrece</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17</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¿"Reciclable" o "compostable" tienen respaldo o certificado?</w:t>
            </w:r>
          </w:p>
        </w:tc>
        <w:tc>
          <w:tcPr>
            <w:tcW w:type="dxa" w:w="332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 Leg. 1044</w:t>
            </w:r>
          </w:p>
        </w:tc>
        <w:tc>
          <w:tcPr>
            <w:tcW w:type="dxa" w:w="171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Se quita</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18</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¿Las ventas por redes y WhatsApp tienen libro de reclamaciones virtual?</w:t>
            </w:r>
          </w:p>
        </w:tc>
        <w:tc>
          <w:tcPr>
            <w:tcW w:type="dxa" w:w="332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Ley 29571</w:t>
            </w:r>
          </w:p>
        </w:tc>
        <w:tc>
          <w:tcPr>
            <w:tcW w:type="dxa" w:w="171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Se habilita antes de vender</w:t>
            </w:r>
          </w:p>
        </w:tc>
      </w:tr>
    </w:tbl>
    <w:p>
      <w:pPr>
        <w:spacing w:after="80"/>
      </w:pPr>
    </w:p>
    <w:p>
      <w:pPr>
        <w:pStyle w:val="Heading1"/>
      </w:pPr>
      <w:r>
        <w:t xml:space="preserve">Fuentes</w:t>
      </w:r>
    </w:p>
    <w:p>
      <w:pPr>
        <w:spacing w:after="120"/>
      </w:pPr>
      <w:r>
        <w:t xml:space="preserve">Documentos del proyecto</w:t>
      </w:r>
    </w:p>
    <w:p>
      <w:pPr>
        <w:pStyle w:val="ListParagraph"/>
        <w:numPr>
          <w:ilvl w:val="0"/>
          <w:numId w:val="3"/>
        </w:numPr>
        <w:spacing w:after="60"/>
      </w:pPr>
      <w:r>
        <w:rPr>
          <w:rFonts w:ascii="Consolas" w:cs="Consolas" w:eastAsia="Consolas" w:hAnsi="Consolas"/>
          <w:color w:val="4A2018"/>
          <w:sz w:val="19"/>
          <w:szCs w:val="19"/>
        </w:rPr>
        <w:t xml:space="preserve">04-reformulacion/T2/HECHOS_v7.md</w:t>
      </w:r>
      <w:r>
        <w:t xml:space="preserve"> (marca, precios, mensajes, ODS, público; 19-oct-2026).</w:t>
      </w:r>
    </w:p>
    <w:p>
      <w:pPr>
        <w:pStyle w:val="ListParagraph"/>
        <w:numPr>
          <w:ilvl w:val="0"/>
          <w:numId w:val="3"/>
        </w:numPr>
        <w:spacing w:after="60"/>
      </w:pPr>
      <w:r>
        <w:rPr>
          <w:rFonts w:ascii="Consolas" w:cs="Consolas" w:eastAsia="Consolas" w:hAnsi="Consolas"/>
          <w:color w:val="4A2018"/>
          <w:sz w:val="19"/>
          <w:szCs w:val="19"/>
        </w:rPr>
        <w:t xml:space="preserve">04-reformulacion/06-marca-2-0-e-innovacion.md</w:t>
      </w:r>
      <w:r>
        <w:t xml:space="preserve"> (tono, 10 frases, sabores y colores, empaque 2.0, checklist legal; 3-oct-2026).</w:t>
      </w:r>
    </w:p>
    <w:p>
      <w:pPr>
        <w:pStyle w:val="ListParagraph"/>
        <w:numPr>
          <w:ilvl w:val="0"/>
          <w:numId w:val="3"/>
        </w:numPr>
        <w:spacing w:after="60"/>
      </w:pPr>
      <w:r>
        <w:rPr>
          <w:rFonts w:ascii="Consolas" w:cs="Consolas" w:eastAsia="Consolas" w:hAnsi="Consolas"/>
          <w:color w:val="4A2018"/>
          <w:sz w:val="19"/>
          <w:szCs w:val="19"/>
        </w:rPr>
        <w:t xml:space="preserve">04-reformulacion/03-maquila-regulacion-y-permisos.md</w:t>
      </w:r>
      <w:r>
        <w:t xml:space="preserve"> (octógonos, Ley 30021, rotulado, INDECOPI).</w:t>
      </w:r>
    </w:p>
    <w:p>
      <w:pPr>
        <w:pStyle w:val="ListParagraph"/>
        <w:numPr>
          <w:ilvl w:val="0"/>
          <w:numId w:val="3"/>
        </w:numPr>
        <w:spacing w:after="60"/>
      </w:pPr>
      <w:r>
        <w:rPr>
          <w:rFonts w:ascii="Consolas" w:cs="Consolas" w:eastAsia="Consolas" w:hAnsi="Consolas"/>
          <w:color w:val="4A2018"/>
          <w:sz w:val="19"/>
          <w:szCs w:val="19"/>
        </w:rPr>
        <w:t xml:space="preserve">04-reformulacion/04-publico-objetivo-y-buyer-persona-con-datos.md</w:t>
      </w:r>
      <w:r>
        <w:t xml:space="preserve"> (ENDES 2024, insights).</w:t>
      </w:r>
    </w:p>
    <w:p>
      <w:pPr>
        <w:pStyle w:val="ListParagraph"/>
        <w:numPr>
          <w:ilvl w:val="0"/>
          <w:numId w:val="3"/>
        </w:numPr>
        <w:spacing w:after="60"/>
      </w:pPr>
      <w:r>
        <w:rPr>
          <w:rFonts w:ascii="Consolas" w:cs="Consolas" w:eastAsia="Consolas" w:hAnsi="Consolas"/>
          <w:color w:val="4A2018"/>
          <w:sz w:val="19"/>
          <w:szCs w:val="19"/>
        </w:rPr>
        <w:t xml:space="preserve">04-reformulacion/08-venta-fisica-stands-y-ferias.md</w:t>
      </w:r>
      <w:r>
        <w:t xml:space="preserve"> (kit de stand y carrito).</w:t>
      </w:r>
    </w:p>
    <w:p>
      <w:pPr>
        <w:pStyle w:val="ListParagraph"/>
        <w:numPr>
          <w:ilvl w:val="0"/>
          <w:numId w:val="3"/>
        </w:numPr>
        <w:spacing w:after="60"/>
      </w:pPr>
      <w:r>
        <w:rPr>
          <w:rFonts w:ascii="Consolas" w:cs="Consolas" w:eastAsia="Consolas" w:hAnsi="Consolas"/>
          <w:color w:val="4A2018"/>
          <w:sz w:val="19"/>
          <w:szCs w:val="19"/>
        </w:rPr>
        <w:t xml:space="preserve">04-reformulacion/09-app-andi-mision-hierro.md</w:t>
      </w:r>
      <w:r>
        <w:t xml:space="preserve"> y capturas en </w:t>
      </w:r>
      <w:r>
        <w:rPr>
          <w:rFonts w:ascii="Consolas" w:cs="Consolas" w:eastAsia="Consolas" w:hAnsi="Consolas"/>
          <w:color w:val="4A2018"/>
          <w:sz w:val="19"/>
          <w:szCs w:val="19"/>
        </w:rPr>
        <w:t xml:space="preserve">app-andi-mision-hierro/capturas/</w:t>
      </w:r>
      <w:r>
        <w:t xml:space="preserve"> (Andi, modo niños, Ley 30021).</w:t>
      </w:r>
    </w:p>
    <w:p>
      <w:pPr>
        <w:pStyle w:val="ListParagraph"/>
        <w:numPr>
          <w:ilvl w:val="0"/>
          <w:numId w:val="3"/>
        </w:numPr>
        <w:spacing w:after="60"/>
      </w:pPr>
      <w:r>
        <w:rPr>
          <w:rFonts w:ascii="Consolas" w:cs="Consolas" w:eastAsia="Consolas" w:hAnsi="Consolas"/>
          <w:color w:val="4A2018"/>
          <w:sz w:val="19"/>
          <w:szCs w:val="19"/>
        </w:rPr>
        <w:t xml:space="preserve">04-reformulacion/10-plan-de-marketing-2027.md</w:t>
      </w:r>
      <w:r>
        <w:t xml:space="preserve"> (POP, WhatsApp, mensajes).</w:t>
      </w:r>
    </w:p>
    <w:p>
      <w:pPr>
        <w:pStyle w:val="ListParagraph"/>
        <w:numPr>
          <w:ilvl w:val="0"/>
          <w:numId w:val="3"/>
        </w:numPr>
        <w:spacing w:after="60"/>
      </w:pPr>
      <w:r>
        <w:rPr>
          <w:rFonts w:ascii="Consolas" w:cs="Consolas" w:eastAsia="Consolas" w:hAnsi="Consolas"/>
          <w:color w:val="4A2018"/>
          <w:sz w:val="19"/>
          <w:szCs w:val="19"/>
        </w:rPr>
        <w:t xml:space="preserve">assets/empaque/LEEME.md</w:t>
      </w:r>
      <w:r>
        <w:t xml:space="preserve"> y </w:t>
      </w:r>
      <w:r>
        <w:rPr>
          <w:rFonts w:ascii="Consolas" w:cs="Consolas" w:eastAsia="Consolas" w:hAnsi="Consolas"/>
          <w:color w:val="4A2018"/>
          <w:sz w:val="19"/>
          <w:szCs w:val="19"/>
        </w:rPr>
        <w:t xml:space="preserve">assets/empaque/build3.py</w:t>
      </w:r>
      <w:r>
        <w:t xml:space="preserve"> (medidas y colores del empaque).</w:t>
      </w:r>
    </w:p>
    <w:p>
      <w:pPr>
        <w:pStyle w:val="ListParagraph"/>
        <w:numPr>
          <w:ilvl w:val="0"/>
          <w:numId w:val="3"/>
        </w:numPr>
        <w:spacing w:after="60"/>
      </w:pPr>
      <w:r>
        <w:rPr>
          <w:rFonts w:ascii="Consolas" w:cs="Consolas" w:eastAsia="Consolas" w:hAnsi="Consolas"/>
          <w:color w:val="4A2018"/>
          <w:sz w:val="19"/>
          <w:szCs w:val="19"/>
        </w:rPr>
        <w:t xml:space="preserve">04-reformulacion/TC5-8/fuente/img/logo_color.png</w:t>
      </w:r>
      <w:r>
        <w:t xml:space="preserve"> y </w:t>
      </w:r>
      <w:r>
        <w:rPr>
          <w:rFonts w:ascii="Consolas" w:cs="Consolas" w:eastAsia="Consolas" w:hAnsi="Consolas"/>
          <w:color w:val="4A2018"/>
          <w:sz w:val="19"/>
          <w:szCs w:val="19"/>
        </w:rPr>
        <w:t xml:space="preserve">logo_light.png</w:t>
      </w:r>
      <w:r>
        <w:t xml:space="preserve">; </w:t>
      </w:r>
      <w:r>
        <w:rPr>
          <w:rFonts w:ascii="Consolas" w:cs="Consolas" w:eastAsia="Consolas" w:hAnsi="Consolas"/>
          <w:color w:val="4A2018"/>
          <w:sz w:val="19"/>
          <w:szCs w:val="19"/>
        </w:rPr>
        <w:t xml:space="preserve">04-reformulacion/TC5-8/fuente/build.js</w:t>
      </w:r>
      <w:r>
        <w:t xml:space="preserve"> (tema de colores y Calibri).</w:t>
      </w:r>
    </w:p>
    <w:p>
      <w:pPr>
        <w:pStyle w:val="ListParagraph"/>
        <w:numPr>
          <w:ilvl w:val="0"/>
          <w:numId w:val="3"/>
        </w:numPr>
        <w:spacing w:after="60"/>
      </w:pPr>
      <w:r>
        <w:rPr>
          <w:rFonts w:ascii="Consolas" w:cs="Consolas" w:eastAsia="Consolas" w:hAnsi="Consolas"/>
          <w:color w:val="4A2018"/>
          <w:sz w:val="19"/>
          <w:szCs w:val="19"/>
        </w:rPr>
        <w:t xml:space="preserve">04-reformulacion/T2/T2_12_Plantilla-PPT-AndiBite.pptx</w:t>
      </w:r>
      <w:r>
        <w:t xml:space="preserve"> y </w:t>
      </w:r>
      <w:r>
        <w:rPr>
          <w:rFonts w:ascii="Consolas" w:cs="Consolas" w:eastAsia="Consolas" w:hAnsi="Consolas"/>
          <w:color w:val="4A2018"/>
          <w:sz w:val="19"/>
          <w:szCs w:val="19"/>
        </w:rPr>
        <w:t xml:space="preserve">04-reformulacion/T2/fuente/ppt/plantilla.js</w:t>
      </w:r>
      <w:r>
        <w:t xml:space="preserve"> (plantilla del T2).</w:t>
      </w:r>
    </w:p>
    <w:p>
      <w:pPr>
        <w:spacing w:after="120"/>
      </w:pPr>
      <w:r>
        <w:t xml:space="preserve">ODS y anemia</w:t>
      </w:r>
    </w:p>
    <w:p>
      <w:pPr>
        <w:pStyle w:val="ListParagraph"/>
        <w:numPr>
          <w:ilvl w:val="0"/>
          <w:numId w:val="3"/>
        </w:numPr>
        <w:spacing w:after="60"/>
      </w:pPr>
      <w:r>
        <w:t xml:space="preserve">ONU, Objetivo 2: Hambre cero, meta 2.2 (consulta del 19-oct-2026): https://www.un.org/sustainabledevelopment/es/hunger/</w:t>
      </w:r>
    </w:p>
    <w:p>
      <w:pPr>
        <w:pStyle w:val="ListParagraph"/>
        <w:numPr>
          <w:ilvl w:val="0"/>
          <w:numId w:val="3"/>
        </w:numPr>
        <w:spacing w:after="60"/>
      </w:pPr>
      <w:r>
        <w:t xml:space="preserve">Metadatos del indicador ODS 2.2.3, anemia en mujeres de 15 a 49 años (Banco Mundial, consulta del 19-oct-2026): https://worldbank.github.io/sdg-metadata/metadata/en/2-2-3</w:t>
      </w:r>
    </w:p>
    <w:p>
      <w:pPr>
        <w:pStyle w:val="ListParagraph"/>
        <w:numPr>
          <w:ilvl w:val="0"/>
          <w:numId w:val="3"/>
        </w:numPr>
        <w:spacing w:after="60"/>
      </w:pPr>
      <w:r>
        <w:t xml:space="preserve">INEI, series anuales de indicadores de la ENDES 1986-2025: https://www.gob.pe/institucion/inei/informes-publicaciones/8284167-peru-series-anuales-de-principales-indicadores-de-la-endes-1986-2025</w:t>
      </w:r>
    </w:p>
    <w:p>
      <w:pPr>
        <w:spacing w:after="120"/>
      </w:pPr>
      <w:r>
        <w:t xml:space="preserve">Normas</w:t>
      </w:r>
    </w:p>
    <w:p>
      <w:pPr>
        <w:pStyle w:val="ListParagraph"/>
        <w:numPr>
          <w:ilvl w:val="0"/>
          <w:numId w:val="3"/>
        </w:numPr>
        <w:spacing w:after="60"/>
      </w:pPr>
      <w:r>
        <w:t xml:space="preserve">Ley 30021, Ley de Promoción de la Alimentación Saludable para Niños, Niñas y Adolescentes (Congreso): https://www.leyes.congreso.gob.pe/Documentos/Leyes/30021.pdf</w:t>
      </w:r>
    </w:p>
    <w:p>
      <w:pPr>
        <w:pStyle w:val="ListParagraph"/>
        <w:numPr>
          <w:ilvl w:val="0"/>
          <w:numId w:val="3"/>
        </w:numPr>
        <w:spacing w:after="60"/>
      </w:pPr>
      <w:r>
        <w:t xml:space="preserve">Resumen de la Ley 30021 (LP Derecho): https://lpderecho.pe/octogonos-ley-30021-publicidad-informacion/</w:t>
      </w:r>
    </w:p>
    <w:p>
      <w:pPr>
        <w:pStyle w:val="ListParagraph"/>
        <w:numPr>
          <w:ilvl w:val="0"/>
          <w:numId w:val="3"/>
        </w:numPr>
        <w:spacing w:after="60"/>
      </w:pPr>
      <w:r>
        <w:t xml:space="preserve">CMS Grau, "Ley de Alimentación Saludable: el análisis de un personaje ficticio en la publicidad testimonial" (art. 8): https://cms.law/es/per/publication/ley-de-alimentacion-saludable-el-analisis-de-un-personaje-ficticio-en-la-publicidad-testimonial</w:t>
      </w:r>
    </w:p>
    <w:p>
      <w:pPr>
        <w:pStyle w:val="ListParagraph"/>
        <w:numPr>
          <w:ilvl w:val="0"/>
          <w:numId w:val="3"/>
        </w:numPr>
        <w:spacing w:after="60"/>
      </w:pPr>
      <w:r>
        <w:t xml:space="preserve">D.S. 017-2023-SA, modificación del Manual de Advertencias Publicitarias (El Peruano): https://busquedas.elperuano.pe/normaslegales/decreto-supremo-que-modifica-el-manual-de-advertencias-publi-decreto-supremo-n-017-2023-sa-2191835-1/</w:t>
      </w:r>
    </w:p>
    <w:p>
      <w:pPr>
        <w:pStyle w:val="ListParagraph"/>
        <w:numPr>
          <w:ilvl w:val="0"/>
          <w:numId w:val="3"/>
        </w:numPr>
        <w:spacing w:after="60"/>
      </w:pPr>
      <w:r>
        <w:t xml:space="preserve">Ley 31919, adhesivos para MYPE (LP Derecho): https://lpderecho.pe/ley-31919-mypes-importan-elaboran-productos-autorizadas-usar-adhesivos-consignar-octogonos/</w:t>
      </w:r>
    </w:p>
    <w:p>
      <w:pPr>
        <w:pStyle w:val="ListParagraph"/>
        <w:numPr>
          <w:ilvl w:val="0"/>
          <w:numId w:val="3"/>
        </w:numPr>
        <w:spacing w:after="60"/>
      </w:pPr>
      <w:r>
        <w:t xml:space="preserve">RM 195-2019-MINSA, alimentación saludable en colegios (LEAP/FAOLEX): https://leap.unep.org/en/countries/pe/national-legislation/resolucion-no-195-2019-minsa-lineamientos-para-la-promocion-y</w:t>
      </w:r>
    </w:p>
    <w:p>
      <w:pPr>
        <w:pStyle w:val="ListParagraph"/>
        <w:numPr>
          <w:ilvl w:val="0"/>
          <w:numId w:val="3"/>
        </w:numPr>
        <w:spacing w:after="60"/>
      </w:pPr>
      <w:r>
        <w:t xml:space="preserve">Codex CXG 23-1997, declaraciones de propiedades (FAO): https://www.fao.org/input/download/standards/351/CXG_023s.pdf</w:t>
      </w:r>
    </w:p>
    <w:p>
      <w:pPr>
        <w:pStyle w:val="ListParagraph"/>
        <w:numPr>
          <w:ilvl w:val="0"/>
          <w:numId w:val="3"/>
        </w:numPr>
        <w:spacing w:after="60"/>
      </w:pPr>
      <w:r>
        <w:t xml:space="preserve">NTP 209.652:2025, etiquetado nutricional (Agraria, 5-ago-2026): https://agraria.pe/noticias/atencion-aprueban-norma-tecnica-sobre-informacion-nutriciona-42818</w:t>
      </w:r>
    </w:p>
    <w:p>
      <w:pPr>
        <w:pStyle w:val="ListParagraph"/>
        <w:numPr>
          <w:ilvl w:val="0"/>
          <w:numId w:val="3"/>
        </w:numPr>
        <w:spacing w:after="60"/>
      </w:pPr>
      <w:r>
        <w:t xml:space="preserve">D.S. 007-98-SA, vigilancia y control sanitario de alimentos (DIGESA): https://www.digesa.minsa.gob.pe/Codex/D.S.007_98_SA.pdf</w:t>
      </w:r>
    </w:p>
    <w:p>
      <w:pPr>
        <w:pStyle w:val="ListParagraph"/>
        <w:numPr>
          <w:ilvl w:val="0"/>
          <w:numId w:val="3"/>
        </w:numPr>
        <w:spacing w:after="60"/>
      </w:pPr>
      <w:r>
        <w:t xml:space="preserve">INDECOPI, registro de marca y tarifas 2026 (modelo.pe, 19-sep-2026): https://modelo.pe/blog/como-registrar-una-marca-en-indecopi-peru-2026/</w:t>
      </w:r>
    </w:p>
    <w:p>
      <w:pPr>
        <w:spacing w:after="120"/>
      </w:pPr>
      <w:r>
        <w:t xml:space="preserve">Diseño y redes</w:t>
      </w:r>
    </w:p>
    <w:p>
      <w:pPr>
        <w:pStyle w:val="ListParagraph"/>
        <w:numPr>
          <w:ilvl w:val="0"/>
          <w:numId w:val="3"/>
        </w:numPr>
        <w:spacing w:after="60"/>
      </w:pPr>
      <w:r>
        <w:t xml:space="preserve">W3C, Pautas de Accesibilidad para el Contenido Web (WCAG) 2.1, contraste mínimo: https://www.w3.org/TR/WCAG21/#contrast-minimum</w:t>
      </w:r>
    </w:p>
    <w:p>
      <w:pPr>
        <w:pStyle w:val="ListParagraph"/>
        <w:numPr>
          <w:ilvl w:val="0"/>
          <w:numId w:val="3"/>
        </w:numPr>
        <w:spacing w:after="60"/>
      </w:pPr>
      <w:r>
        <w:t xml:space="preserve">Meta, guía de anuncios: imagen para el feed de Facebook (4:5, 1440 x 1800; consulta del 19-oct-2026): https://www.facebook.com/business/ads-guide/update/image</w:t>
      </w:r>
    </w:p>
    <w:p>
      <w:pPr>
        <w:pStyle w:val="ListParagraph"/>
        <w:numPr>
          <w:ilvl w:val="0"/>
          <w:numId w:val="3"/>
        </w:numPr>
        <w:spacing w:after="60"/>
      </w:pPr>
      <w:r>
        <w:t xml:space="preserve">Meta, guía de anuncios: imagen para historias de Instagram (9:16, 1440 x 2560, zonas seguras; consulta del 19-oct-2026): https://www.facebook.com/business/ads-guide/update/image/instagram-story</w:t>
      </w:r>
    </w:p>
    <w:p>
      <w:pPr>
        <w:pStyle w:val="ListParagraph"/>
        <w:numPr>
          <w:ilvl w:val="0"/>
          <w:numId w:val="3"/>
        </w:numPr>
        <w:spacing w:after="60"/>
      </w:pPr>
      <w:r>
        <w:t xml:space="preserve">Kantar, consumo saludable en el Perú (15-may-2025): https://www.kantar.com/latin-america/inspiracion/consumidor/2025/consumo-saludable-peru-tendencia</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3A2A"/>
        <w:sz w:val="16"/>
        <w:szCs w:val="16"/>
      </w:rPr>
      <w:t xml:space="preserve">AndiBite · Grupo 2 · T2 Plan de marketing · </w:t>
    </w:r>
    <w:r>
      <w:rPr>
        <w:color w:val="6B3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1A1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BA4036"/>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A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bc85121a884bb946cbd474e69e22b29ddd628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#12 Manual de marca</dc:title>
  <dc:creator>Grupo 2</dc:creator>
  <cp:lastModifiedBy>Un-named</cp:lastModifiedBy>
  <cp:revision>1</cp:revision>
  <dcterms:created xsi:type="dcterms:W3CDTF">2026-10-19T02:15:56.920Z</dcterms:created>
  <dcterms:modified xsi:type="dcterms:W3CDTF">2026-10-19T02:15:56.921Z</dcterms:modified>
</cp:coreProperties>
</file>

<file path=docProps/custom.xml><?xml version="1.0" encoding="utf-8"?>
<Properties xmlns="http://schemas.openxmlformats.org/officeDocument/2006/custom-properties" xmlns:vt="http://schemas.openxmlformats.org/officeDocument/2006/docPropsVTypes"/>
</file>