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 w:lineRule="auto"/>
      </w:pPr>
      <w:r>
        <w:drawing>
          <wp:inline distT="0" distB="0" distL="0" distR="0">
            <wp:extent cx="14287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4A2018"/>
          <w:sz w:val="40"/>
          <w:szCs w:val="40"/>
        </w:rPr>
        <w:t xml:space="preserve">T2 · #21 Portada, resumen ejecutivo y cierre</w:t>
      </w:r>
    </w:p>
    <w:p>
      <w:pPr>
        <w:pBdr>
          <w:bottom w:val="single" w:color="BA4036" w:sz="8" w:space="6"/>
        </w:pBdr>
        <w:spacing w:after="120"/>
      </w:pPr>
      <w:r>
        <w:rPr>
          <w:i/>
          <w:iCs/>
          <w:color w:val="6B3A2A"/>
          <w:sz w:val="20"/>
          <w:szCs w:val="20"/>
        </w:rPr>
        <w:t xml:space="preserve">Responsable: Diana Ayoso · Grupo 2 · AndiBite · Propuesta para revisar</w:t>
      </w:r>
    </w:p>
    <w:p>
      <w:pPr>
        <w:spacing w:after="120"/>
      </w:pPr>
      <w:r>
        <w:t xml:space="preserve">Este punto arma la entrada y la salida del documento final del T2: la portada, el índice de los 22 puntos, el resumen ejecutivo de una página y el cierre. No calcula cifras nuevas: cada número se copia de HECHOS_v7, del Excel v7 (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Costeo-presentaciones-AndiBite.xlsx</w:t>
      </w:r>
      <w:r>
        <w:t xml:space="preserve">), de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Presupuesto-marketing-AndiBite.xlsx</w:t>
      </w:r>
      <w:r>
        <w:t xml:space="preserve"> o de los puntos del T2 que se indican entre paréntesis. Cuando dos documentos no coincidían, se resolvió con HECHOS_v7 y el Excel v7, o se dejó como pendiente: todo está en la sección 5. En el documento final (#22), el orden es portada, índice, resumen ejecutivo, los puntos #1 a #20 y el cierre.</w:t>
      </w:r>
    </w:p>
    <w:p>
      <w:pPr>
        <w:spacing w:after="120"/>
      </w:pPr>
      <w:r>
        <w:rPr>
          <w:b/>
          <w:bCs/>
        </w:rPr>
        <w:t xml:space="preserve">Siglas.</w:t>
      </w:r>
      <w:r>
        <w:t xml:space="preserve"> ODS: Objetivos de Desarrollo Sostenible de la ONU. NSE: nivel socioeconómico (A es el más alto). IGV: impuesto general a las ventas (los precios al público lo incluyen). QR: código que se lee con la cámara del celular. PESTEL: análisis del entorno político, económico, social, tecnológico, ambiental y legal. FODA: fortalezas, oportunidades, debilidades y amenazas. SMART: objetivo específico, medible, alcanzable, relevante y con tiempo. KPI: indicador clave. BTL: marketing cara a cara (stand, degustación, ferias, eventos, material y embajadoras). ATL: publicidad en medios masivos (televisión, radio, vía pública). ROI: retorno de la inversión. ROAS: ventas que vuelven por cada sol de publicidad. CPA: costo por adquisición (por contacto o por cliente). ENDES: Encuesta Demográfica y de Salud Familiar del INEI (Instituto Nacional de Estadística e Informática). MINSA: Ministerio de Salud. INS-CENAN: Instituto Nacional de Salud, Centro Nacional de Alimentación y Nutrición. APEIM: Asociación Peruana de Empresas de Inteligencia de Mercados. OMS: Organización Mundial de la Salud. RM: resolución ministerial. TEA: tasa efectiva anual. POP: material en el punto de venta. [POR CONFIRMAR]: dato que no se pudo verificar. [ESTIMADO]: cálculo del plan que se corrige con datos reales.</w:t>
      </w:r>
    </w:p>
    <w:p>
      <w:pPr>
        <w:pStyle w:val="Heading1"/>
      </w:pPr>
      <w:r>
        <w:t xml:space="preserve">1. Portada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7910"/>
      </w:tblGrid>
      <w:tr>
        <w:trPr>
          <w:tblHeader/>
        </w:trPr>
        <w:tc>
          <w:tcPr>
            <w:tcW w:type="dxa" w:w="14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9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Texto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Título</w:t>
            </w:r>
          </w:p>
        </w:tc>
        <w:tc>
          <w:tcPr>
            <w:tcW w:type="dxa" w:w="79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AndiBite: plan de marketing y lanzamiento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Subtítulo</w:t>
            </w:r>
          </w:p>
        </w:tc>
        <w:tc>
          <w:tcPr>
            <w:tcW w:type="dxa" w:w="79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T2 · Unidad 3 · De octubre de 2026 a diciembre de 2027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Curso</w:t>
            </w:r>
          </w:p>
        </w:tc>
        <w:tc>
          <w:tcPr>
            <w:tcW w:type="dxa" w:w="79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Desarrollo y lanzamiento de nuevos productos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Profesora</w:t>
            </w:r>
          </w:p>
        </w:tc>
        <w:tc>
          <w:tcPr>
            <w:tcW w:type="dxa" w:w="79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Paola Cevallos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Grupo</w:t>
            </w:r>
          </w:p>
        </w:tc>
        <w:tc>
          <w:tcPr>
            <w:tcW w:type="dxa" w:w="79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Grupo 2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Integrantes</w:t>
            </w:r>
          </w:p>
        </w:tc>
        <w:tc>
          <w:tcPr>
            <w:tcW w:type="dxa" w:w="79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Diana Ayoso, Carlos Inga, Angie Blas, Patricia Cárdenas y Adela Robles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9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Octubre de 2026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Slogan</w:t>
            </w:r>
          </w:p>
        </w:tc>
        <w:tc>
          <w:tcPr>
            <w:tcW w:type="dxa" w:w="791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"Hierro medido. Sabor a brownie."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Los nombres, el curso y la profesora se confirmaron en HECHOS_v7 (sección "Equipo y curso") y en la portada de la plantilla (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04-reformulacion/T2/fuente/ppt/plantilla_slides.js</w:t>
      </w:r>
      <w:r>
        <w:t xml:space="preserve">). El título sigue a la plantilla ("Plan de marketing y lanzamiento · T2") y al documento 10. En la PPT, la portada usa la maestra "Portada" del manual de marca (#12, sección 10.2): logo claro, foto del empaque a la derecha y, abajo, la línea "Grupo 2 · Diana Ayoso · Carlos Inga · Angie Blas · Patricia Cárdenas · Adela Robles".</w:t>
      </w:r>
    </w:p>
    <w:p>
      <w:pPr>
        <w:pStyle w:val="Heading1"/>
      </w:pPr>
      <w:r>
        <w:t xml:space="preserve">2. Índice de los 22 puntos</w:t>
      </w:r>
    </w:p>
    <w:p>
      <w:pPr>
        <w:spacing w:after="120"/>
      </w:pPr>
      <w:r>
        <w:t xml:space="preserve">Títulos y responsables del reparto del grupo (#00, sección 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"/>
        <w:gridCol w:w="3662"/>
        <w:gridCol w:w="1038"/>
        <w:gridCol w:w="3663"/>
      </w:tblGrid>
      <w:tr>
        <w:trPr>
          <w:tblHeader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Punto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está hoy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Recap del Canvas T1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Diana Ayoso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T2_01_Recap-del-Canvas.md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Benchmark (mínimo 3 competidores)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Diana Ayoso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T2_02_Benchmark.md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PESTEL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 Blas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Drive del grupo; revisión en </w:t>
            </w:r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T2_00</w:t>
            </w:r>
            <w:r>
              <w:rPr>
                <w:sz w:val="19"/>
                <w:szCs w:val="19"/>
              </w:rPr>
              <w:t xml:space="preserve">, sección 3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FODA y FODA cruzado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Diana Ayoso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T2_04_FODA-y-FODA-cruzado.md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Datos del mercado en números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Adela Robles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T2_05_Datos-del-mercado.md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Proyección de demanda y crecimiento 2027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Adela Robles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T2_06_Proyeccion-de-demanda.md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 objetivos SMART y KPI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Adela Robles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T2_07_Objetivos-SMART.md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Qué le importa al cliente (prompt de IA de la clase)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Patricia Cárdenas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T2_08_Que-le-importa-al-cliente.md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Segmentación y 2 buyer persona (prompt de IA de la clase)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Patricia Cárdenas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T2_09_Segmentacion-y-buyer-persona.md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Posicionamiento (prompt de IA de la clase)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Patricia Cárdenas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T2_10_Posicionamiento.md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Slogan y palabras, imágenes y emociones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Patricia Cárdenas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T2_11_Slogan.md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Manual de marca y plantilla de la PPT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 Inga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T2_12_Manual-de-marca.md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T2_12_Plantilla-PPT-AndiBite.pptx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Concepto de campaña, storytelling y estrategia de comunicación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 Inga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T2_13_Concepto-de-campana.md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Ecosistema digital, Meta Ads en video (5-3-2 AIDA, testimonios) y cierre por WhatsApp o landing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 Inga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T2_14_Ecosistema-digital-y-Meta-Ads.md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Calendario de contenido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 Inga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T2_15_Calendario-de-contenido.md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7P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 Blas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T2_16_Las-7P.md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Presupuesto (inversión por canal, CPA, ROAS y ROI; prompt de IA de la clase)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 Blas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T2_17_Presupuesto.md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Diagrama de Gantt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 Blas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T2_18_Gantt.md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Control de KPI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Adela Robles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T2_19_Control-de-KPI.md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Resumen del caso NutriSmart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Diana Ayoso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Pendiente: falta el caso en el Drive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Portada, resumen ejecutivo y cierre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Diana Ayoso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Este documento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66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Unir todo en la plantilla</w:t>
            </w:r>
          </w:p>
        </w:tc>
        <w:tc>
          <w:tcPr>
            <w:tcW w:type="dxa" w:w="103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 Inga</w:t>
            </w:r>
          </w:p>
        </w:tc>
        <w:tc>
          <w:tcPr>
            <w:tcW w:type="dxa" w:w="366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 armado; falta el #20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Resumen ejecutivo</w:t>
      </w:r>
    </w:p>
    <w:p>
      <w:pPr>
        <w:spacing w:after="120"/>
      </w:pPr>
      <w:r>
        <w:rPr>
          <w:b/>
          <w:bCs/>
        </w:rPr>
        <w:t xml:space="preserve">Problema y oportunidad.</w:t>
      </w:r>
      <w:r>
        <w:t xml:space="preserve"> Lo que tiene hierro vuelve intacto en la lonchera (#8). La anemia afecta al 24.0 % de los niños de 6 a 35 meses de Lima Metropolitana (ENDES 2024, criterio OMS 2024) y al 22.5 % de los escolares de 5 a 11 años del departamento de Lima atendidos por el MINSA (INS-CENAN 2024). El 83 % dice que los octógonos cambian su compra (Ipsos 2025) y el 42 % desconfía de lo envasado "saludable" (Kantar 2025). PESTEL (#3): ayudan el 82.7 % de hogares de Lima con internet (INEI, I trimestre de 2026) y los quioscos escolares que solo aceptan productos sin octógonos (RM 195-2019/MINSA); amenazan el cacao de precio variable y el crédito caro (TEA de 35 %).</w:t>
      </w:r>
    </w:p>
    <w:p>
      <w:pPr>
        <w:spacing w:after="120"/>
      </w:pPr>
      <w:r>
        <w:rPr>
          <w:b/>
          <w:bCs/>
        </w:rPr>
        <w:t xml:space="preserve">Producto.</w:t>
      </w:r>
      <w:r>
        <w:t xml:space="preserve"> Mini brownie de 20 g con sangrecita de res en polvo liofilizada (hierro hemo), en 3 sabores (Chispa, Andi y Lúcu), hecho por maquila. El hierro se mide por lote y se publica en la app "Andi, Misión Hierro" con el QR del envase. Los 1.9 mg por brownie y la meta sin octógono están [POR CONFIRMAR en laboratorio].</w:t>
      </w:r>
    </w:p>
    <w:p>
      <w:pPr>
        <w:spacing w:after="120"/>
      </w:pPr>
      <w:r>
        <w:rPr>
          <w:b/>
          <w:bCs/>
        </w:rPr>
        <w:t xml:space="preserve">Segmento, buyer personas y posicionamiento.</w:t>
      </w:r>
      <w:r>
        <w:t xml:space="preserve"> Padres y madres de 32 a 45 años, NSE A y B, con hijos de 4 a 11 años en colegio privado, con esfuerzo parejo para A y B. Núcleo: 46,000 hogares en Lima Top y Lima Moderna (S/17.3 millones al año); la meta del año 1 equivale al 1.4 % (#05). Claudia Mendoza (A, San Borja): "Todo lo que le hace bien, mi hijo lo escupe." Rodrigo Salazar (B, San Miguel): "No me vendas salud, véndeme una mañana menos." Posicionamiento: "el brownie con el hierro medido" (#10), con el territorio "Medido, no prometido" y el slogan "Hierro medido. Sabor a brownie." (#11).</w:t>
      </w:r>
    </w:p>
    <w:p>
      <w:pPr>
        <w:spacing w:after="120"/>
      </w:pPr>
      <w:r>
        <w:rPr>
          <w:b/>
          <w:bCs/>
        </w:rPr>
        <w:t xml:space="preserve">Campaña, canales y presupuesto.</w:t>
      </w:r>
      <w:r>
        <w:t xml:space="preserve"> Campaña "Vuelve vacía": "Su prueba: la lonchera vacía. La tuya: el informe de su lote." (#13). Canal principal, la venta física: Jockey Plaza desde enero, punto 2 desde febrero, punto 3 desde agosto y carrito en Plaza Vea; 2 ferias pagadas; 40 eventos sin costo; 5 colegios desde marzo y 8 naturistas. WhatsApp, solo para recompra. Presupuesto: </w:t>
      </w:r>
      <w:r>
        <w:rPr>
          <w:b/>
          <w:bCs/>
        </w:rPr>
        <w:t xml:space="preserve">S/24,544</w:t>
      </w:r>
      <w:r>
        <w:t xml:space="preserve"> de octubre de 2026 a diciembre de 2027 (S/0.44 por brownie en 2027), con S/900 al mes. BTL 74 % (S/18,136) y digital 26 % (S/6,408), sin ATL. Pauta en Meta: </w:t>
      </w:r>
      <w:r>
        <w:rPr>
          <w:b/>
          <w:bCs/>
        </w:rPr>
        <w:t xml:space="preserve">S/5,050</w:t>
      </w:r>
      <w:r>
        <w:t xml:space="preserve"> en 2027, 50/50 entre A y B desde febrero, más S/600 de expectativa en diciembre de 2026.</w:t>
      </w:r>
    </w:p>
    <w:p>
      <w:pPr>
        <w:spacing w:after="120"/>
      </w:pPr>
      <w:r>
        <w:rPr>
          <w:b/>
          <w:bCs/>
        </w:rPr>
        <w:t xml:space="preserve">KPI y metas SMART (#07 y #19).</w:t>
      </w:r>
      <w:r>
        <w:t xml:space="preserve"> 1) Vender 52,331 brownies y S/244,728 con IGV en 2027, con un mínimo de 65 brownies por día en cada punto. 2) Recompra igual al 35 % de lo vendido en físico, unos 2,300 contactos con permiso y 30 % de envases escaneados. 3) 230 familias nuevas por embajadoras y 5 colegios con quiosco (2 A y 3 B). Control cada domingo con semáforo.</w:t>
      </w:r>
    </w:p>
    <w:p>
      <w:pPr>
        <w:spacing w:after="120"/>
      </w:pPr>
      <w:r>
        <w:rPr>
          <w:b/>
          <w:bCs/>
        </w:rPr>
        <w:t xml:space="preserve">Proyección 2027 y ROI.</w:t>
      </w:r>
      <w:r>
        <w:t xml:space="preserve"> En 2027: resultado operativo de S/13,423 (6.5 %) y utilidad neta de S/10,379; todos los meses ganan desde marzo. En 2028: 70,452 brownies y S/322,329 (+32 %), con utilidad neta de S/28,447. La inversión inicial de S/40,876 se recupera en el mes 23 (noviembre de 2028). ROI del negocio (utilidad neta ÷ aporte de los socios, Excel v7): 41.5 % en 2027 (HECHOS_v7 lo redondea a 42 %). ROI de marketing (#17) = (contribución después de stands × atribución − marketing) ÷ marketing = (S/56,824 × 75 % − S/24,544) ÷ S/24,544 = </w:t>
      </w:r>
      <w:r>
        <w:rPr>
          <w:b/>
          <w:bCs/>
        </w:rPr>
        <w:t xml:space="preserve">74 %</w:t>
      </w:r>
      <w:r>
        <w:t xml:space="preserve">, la cifra principal, que supone que el marketing explica 3 de cada 4 soles de la contribución. El techo es 132 % (100 % de atribución) y el piso, 16 % (50 %); el marketing se paga si explica al menos el 43 % de la contribución. El costo por contacto de la pauta (S/8.23 de línea base) no cambia estas cifras, porque el Excel ya paga la pauta sin contarle ventas: con S/8.23 la pauta sumaría unos S/2,576 de utilidad neta extra en 2027, S/1,665 menos que con la meta de S/5 (#17, sensibilidad al costo por contacto). ROAS de la pauta en el primer pedido: 0.72 [ESTIMADO]; su valor está en la recompra.</w:t>
      </w:r>
    </w:p>
    <w:p>
      <w:pPr>
        <w:pStyle w:val="Heading1"/>
      </w:pPr>
      <w:r>
        <w:t xml:space="preserve">4. Cierre</w:t>
      </w:r>
    </w:p>
    <w:p>
      <w:pPr>
        <w:pStyle w:val="Heading2"/>
      </w:pPr>
      <w:r>
        <w:t xml:space="preserve">4.1 Conclusiones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plan es una sola línea.</w:t>
      </w:r>
      <w:r>
        <w:t xml:space="preserve"> El insight (la lonchera vuelve llena) lleva al posicionamiento ("Medido, no prometido"), a la campaña "Vuelve vacía" y a los KPI del control. Todos los puntos usan las cifras del modelo v7.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laboratorio es la base.</w:t>
      </w:r>
      <w:r>
        <w:t xml:space="preserve"> Sin el informe del lote no se puede decir "hierro medido" ni "sin octógono", y sin "sin octógono" no hay colegios: 9,165 brownies, el 17.5 % del año 1 (#06).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venta física manda y el marketing es chico y medible.</w:t>
      </w:r>
      <w:r>
        <w:t xml:space="preserve"> S/24,544 en 15 meses, con el 74 % en BTL. La pauta trae contactos; la ganancia está en la prueba del niño en el stand y en la recompra por WhatsApp (35 %).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meta es prudente.</w:t>
      </w:r>
      <w:r>
        <w:t xml:space="preserve"> Es el 1.4 % del núcleo. Si los stands venden 20 % menos (el escenario del Excel v7), el año 1 todavía gana S/608 y la caja más baja (−S/2,188 en agosto de 2027) la cubre la línea de crédito de S/3,000 (#06).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AndiBite contribuye al ODS 2</w:t>
      </w:r>
      <w:r>
        <w:t xml:space="preserve"> (meta 2.2, poner fin a todas las formas de malnutrición), con el ODS 3 (salud y bienestar) y el ODS 8 (trabajo decente) como complementos. Nunca dice que "previene la anemia".</w:t>
      </w:r>
    </w:p>
    <w:p>
      <w:pPr>
        <w:pStyle w:val="Heading2"/>
      </w:pPr>
      <w:r>
        <w:t xml:space="preserve">4.2 Próximos pasos</w:t>
      </w:r>
    </w:p>
    <w:p>
      <w:pPr>
        <w:spacing w:after="120"/>
      </w:pPr>
      <w:r>
        <w:t xml:space="preserve">Fechas del Gantt (#18) y de sus hitos H1 a H8. Las que dependen de un contrato siguen [POR CONFIRMAR].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8"/>
        <w:gridCol w:w="3554"/>
        <w:gridCol w:w="3318"/>
      </w:tblGrid>
      <w:tr>
        <w:trPr>
          <w:tblHeader/>
        </w:trPr>
        <w:tc>
          <w:tcPr>
            <w:tcW w:type="dxa" w:w="24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5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se hace</w:t>
            </w:r>
          </w:p>
        </w:tc>
        <w:tc>
          <w:tcPr>
            <w:tcW w:type="dxa" w:w="331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tcW w:type="dxa" w:w="24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31-oct-2026</w:t>
            </w:r>
          </w:p>
        </w:tc>
        <w:tc>
          <w:tcPr>
            <w:tcW w:type="dxa" w:w="35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Perfiles de Instagram, Facebook y WhatsApp Business listos; empieza la lista de espera</w:t>
            </w:r>
          </w:p>
        </w:tc>
        <w:tc>
          <w:tcPr>
            <w:tcW w:type="dxa" w:w="331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Angie; Carlos (WhatsApp hasta que entre la coordinadora)</w:t>
            </w:r>
          </w:p>
        </w:tc>
      </w:tr>
      <w:tr>
        <w:trPr>
          <w:tblHeader w:val="false"/>
        </w:trPr>
        <w:tc>
          <w:tcPr>
            <w:tcW w:type="dxa" w:w="24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Noviembre de 2026 (listo el 30-nov)</w:t>
            </w:r>
          </w:p>
        </w:tc>
        <w:tc>
          <w:tcPr>
            <w:tcW w:type="dxa" w:w="35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Video "Vuelve vacía" con niños (S/300) y consentimiento firmado de los padres</w:t>
            </w:r>
          </w:p>
        </w:tc>
        <w:tc>
          <w:tcPr>
            <w:tcW w:type="dxa" w:w="331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Angie; Adela</w:t>
            </w:r>
          </w:p>
        </w:tc>
      </w:tr>
      <w:tr>
        <w:trPr>
          <w:tblHeader w:val="false"/>
        </w:trPr>
        <w:tc>
          <w:tcPr>
            <w:tcW w:type="dxa" w:w="24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Diciembre de 2026</w:t>
            </w:r>
          </w:p>
        </w:tc>
        <w:tc>
          <w:tcPr>
            <w:tcW w:type="dxa" w:w="35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40 packs a influencers (S/458), pauta de expectativa (S/600) y vendedores capacitados al 100 % antes de abrir. Meta: 100 contactos en espera y 500 seguidores</w:t>
            </w:r>
          </w:p>
        </w:tc>
        <w:tc>
          <w:tcPr>
            <w:tcW w:type="dxa" w:w="331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Angie; Patricia; Adela; Carlos y coordinadora</w:t>
            </w:r>
          </w:p>
        </w:tc>
      </w:tr>
      <w:tr>
        <w:trPr>
          <w:tblHeader w:val="false"/>
        </w:trPr>
        <w:tc>
          <w:tcPr>
            <w:tcW w:type="dxa" w:w="24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 y 3-ene-2027 [POR CONFIRMAR con el mall]</w:t>
            </w:r>
          </w:p>
        </w:tc>
        <w:tc>
          <w:tcPr>
            <w:tcW w:type="dxa" w:w="35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H1: apertura del punto 1, Jockey Plaza</w:t>
            </w:r>
          </w:p>
        </w:tc>
        <w:tc>
          <w:tcPr>
            <w:tcW w:type="dxa" w:w="331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</w:tr>
      <w:tr>
        <w:trPr>
          <w:tblHeader w:val="false"/>
        </w:trPr>
        <w:tc>
          <w:tcPr>
            <w:tcW w:type="dxa" w:w="24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Febrero de 2027</w:t>
            </w:r>
          </w:p>
        </w:tc>
        <w:tc>
          <w:tcPr>
            <w:tcW w:type="dxa" w:w="35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H2: punto 2, Real Plaza Salaverry u Open Plaza Angamos [POR CONFIRMAR cuál]. H4: feria de campaña escolar [POR CONFIRMAR organizador y fecha]</w:t>
            </w:r>
          </w:p>
        </w:tc>
        <w:tc>
          <w:tcPr>
            <w:tcW w:type="dxa" w:w="331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Carlos; Angie</w:t>
            </w:r>
          </w:p>
        </w:tc>
      </w:tr>
      <w:tr>
        <w:trPr>
          <w:tblHeader w:val="false"/>
        </w:trPr>
        <w:tc>
          <w:tcPr>
            <w:tcW w:type="dxa" w:w="24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Marzo de 2027</w:t>
            </w:r>
          </w:p>
        </w:tc>
        <w:tc>
          <w:tcPr>
            <w:tcW w:type="dxa" w:w="35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Primer quiosco (A); 3 colegios en mayo y 5 en octubre</w:t>
            </w:r>
          </w:p>
        </w:tc>
        <w:tc>
          <w:tcPr>
            <w:tcW w:type="dxa" w:w="331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Carlos; Diana</w:t>
            </w:r>
          </w:p>
        </w:tc>
      </w:tr>
      <w:tr>
        <w:trPr>
          <w:tblHeader w:val="false"/>
        </w:trPr>
        <w:tc>
          <w:tcPr>
            <w:tcW w:type="dxa" w:w="24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11-abr-2027</w:t>
            </w:r>
          </w:p>
        </w:tc>
        <w:tc>
          <w:tcPr>
            <w:tcW w:type="dxa" w:w="35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H5: feria del Día del Niño Peruano [POR CONFIRMAR organizador]</w:t>
            </w:r>
          </w:p>
        </w:tc>
        <w:tc>
          <w:tcPr>
            <w:tcW w:type="dxa" w:w="331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Carlos; Angie</w:t>
            </w:r>
          </w:p>
        </w:tc>
      </w:tr>
      <w:tr>
        <w:trPr>
          <w:tblHeader w:val="false"/>
        </w:trPr>
        <w:tc>
          <w:tcPr>
            <w:tcW w:type="dxa" w:w="24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9-may y 20-jun-2027</w:t>
            </w:r>
          </w:p>
        </w:tc>
        <w:tc>
          <w:tcPr>
            <w:tcW w:type="dxa" w:w="35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H6: Día de la Madre. H7: Día del Padre</w:t>
            </w:r>
          </w:p>
        </w:tc>
        <w:tc>
          <w:tcPr>
            <w:tcW w:type="dxa" w:w="331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Angie; Carlos; coordinadora</w:t>
            </w:r>
          </w:p>
        </w:tc>
      </w:tr>
      <w:tr>
        <w:trPr>
          <w:tblHeader w:val="false"/>
        </w:trPr>
        <w:tc>
          <w:tcPr>
            <w:tcW w:type="dxa" w:w="24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Junio de 2027</w:t>
            </w:r>
          </w:p>
        </w:tc>
        <w:tc>
          <w:tcPr>
            <w:tcW w:type="dxa" w:w="35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Revisión de mitad de año</w:t>
            </w:r>
          </w:p>
        </w:tc>
        <w:tc>
          <w:tcPr>
            <w:tcW w:type="dxa" w:w="331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Los 5 socios</w:t>
            </w:r>
          </w:p>
        </w:tc>
      </w:tr>
      <w:tr>
        <w:trPr>
          <w:tblHeader w:val="false"/>
        </w:trPr>
        <w:tc>
          <w:tcPr>
            <w:tcW w:type="dxa" w:w="24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Agosto de 2027</w:t>
            </w:r>
          </w:p>
        </w:tc>
        <w:tc>
          <w:tcPr>
            <w:tcW w:type="dxa" w:w="35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H3: punto 3, La Rambla San Borja o carrito en Wong o Vivanda [POR CONFIRMAR cuál]. H8: Día del Niño de agosto, 15-ago</w:t>
            </w:r>
          </w:p>
        </w:tc>
        <w:tc>
          <w:tcPr>
            <w:tcW w:type="dxa" w:w="331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Carlos; Angie</w:t>
            </w:r>
          </w:p>
        </w:tc>
      </w:tr>
      <w:tr>
        <w:trPr>
          <w:tblHeader w:val="false"/>
        </w:trPr>
        <w:tc>
          <w:tcPr>
            <w:tcW w:type="dxa" w:w="24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16-oct-2027</w:t>
            </w:r>
          </w:p>
        </w:tc>
        <w:tc>
          <w:tcPr>
            <w:tcW w:type="dxa" w:w="35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"Abre el laboratorio": informes de hierro de todos los lotes del año</w:t>
            </w:r>
          </w:p>
        </w:tc>
        <w:tc>
          <w:tcPr>
            <w:tcW w:type="dxa" w:w="331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Angie; Diana</w:t>
            </w:r>
          </w:p>
        </w:tc>
      </w:tr>
      <w:tr>
        <w:trPr>
          <w:tblHeader w:val="false"/>
        </w:trPr>
        <w:tc>
          <w:tcPr>
            <w:tcW w:type="dxa" w:w="24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Noviembre y diciembre de 2027</w:t>
            </w:r>
          </w:p>
        </w:tc>
        <w:tc>
          <w:tcPr>
            <w:tcW w:type="dxa" w:w="35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Navidad: cajas para regalo y empresas, por pedido</w:t>
            </w:r>
          </w:p>
        </w:tc>
        <w:tc>
          <w:tcPr>
            <w:tcW w:type="dxa" w:w="331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Carlos; coordinadora</w:t>
            </w:r>
          </w:p>
        </w:tc>
      </w:tr>
      <w:tr>
        <w:trPr>
          <w:tblHeader w:val="false"/>
        </w:trPr>
        <w:tc>
          <w:tcPr>
            <w:tcW w:type="dxa" w:w="24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Diciembre de 2027</w:t>
            </w:r>
          </w:p>
        </w:tc>
        <w:tc>
          <w:tcPr>
            <w:tcW w:type="dxa" w:w="355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Informe de las reglas para crecer en 2028</w:t>
            </w:r>
          </w:p>
        </w:tc>
        <w:tc>
          <w:tcPr>
            <w:tcW w:type="dxa" w:w="331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 y los 5 socios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Pendientes sin fecha en el Gantt:</w:t>
      </w:r>
      <w:r>
        <w:t xml:space="preserve"> el primer informe del laboratorio (hierro y octógono) [POR CONFIRMAR la fecha]; el registro sanitario, que debe estar listo antes de enero de 2027 [POR CONFIRMAR el estado del trámite] (#16); los resultados del focus 2; el caso NutriSmart (#20); y la unión de todo en la plantilla (#22).</w:t>
      </w:r>
    </w:p>
    <w:p>
      <w:pPr>
        <w:pStyle w:val="Heading2"/>
      </w:pPr>
      <w:r>
        <w:t xml:space="preserve">4.3 Riesgos y plan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5"/>
        <w:gridCol w:w="2373"/>
        <w:gridCol w:w="2373"/>
        <w:gridCol w:w="1055"/>
        <w:gridCol w:w="1384"/>
      </w:tblGrid>
      <w:tr>
        <w:trPr>
          <w:tblHeader/>
        </w:trPr>
        <w:tc>
          <w:tcPr>
            <w:tcW w:type="dxa" w:w="21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pasaría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 B</w:t>
            </w:r>
          </w:p>
        </w:tc>
        <w:tc>
          <w:tcPr>
            <w:tcW w:type="dxa" w:w="10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rPr>
          <w:tblHeader w:val="false"/>
        </w:trPr>
        <w:tc>
          <w:tcPr>
            <w:tcW w:type="dxa" w:w="21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laboratorio no confirma "sin octógono"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hay quioscos (9,165 brownies) y no se puede decir "sin octógonos"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mensaje central es el hierro medido, que no depende del octógono. El octógono se muestra en cada pieza. Esos brownies se buscan en eventos y naturistas</w:t>
            </w:r>
          </w:p>
        </w:tc>
        <w:tc>
          <w:tcPr>
            <w:tcW w:type="dxa" w:w="10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Diana; Adela</w:t>
            </w:r>
          </w:p>
        </w:tc>
        <w:tc>
          <w:tcPr>
            <w:tcW w:type="dxa" w:w="13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Documento 10, riesgo 1; #13, 4.3</w:t>
            </w:r>
          </w:p>
        </w:tc>
      </w:tr>
      <w:tr>
        <w:trPr>
          <w:tblHeader w:val="false"/>
        </w:trPr>
        <w:tc>
          <w:tcPr>
            <w:tcW w:type="dxa" w:w="21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 enero todavía no hay informe del laboratorio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se puede usar "hierro medido" ni "el informe de su lote"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 apertura usa "El snack de lonchera que tu hijo sí se come" y "Vuelve vacía" sin la parte del informe. El QR lleva al plan de loncheras y a la recompra. Un lote sin resultado no se vende como "hierro medido"</w:t>
            </w:r>
          </w:p>
        </w:tc>
        <w:tc>
          <w:tcPr>
            <w:tcW w:type="dxa" w:w="10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Diana; Angie</w:t>
            </w:r>
          </w:p>
        </w:tc>
        <w:tc>
          <w:tcPr>
            <w:tcW w:type="dxa" w:w="13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#13, 4.3; #19, KPI 17</w:t>
            </w:r>
          </w:p>
        </w:tc>
      </w:tr>
      <w:tr>
        <w:trPr>
          <w:tblHeader w:val="false"/>
        </w:trPr>
        <w:tc>
          <w:tcPr>
            <w:tcW w:type="dxa" w:w="21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Los stands venden 20 % menos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año 1 gana solo S/608 y la caja baja a −S/2,188 en agosto de 2027 (baja de S/1,000 desde abril)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Línea de crédito de S/3,000, solo si la caja baja de S/1,000 (regla 8). Marketing no sube el gasto y prioriza la degustación</w:t>
            </w:r>
          </w:p>
        </w:tc>
        <w:tc>
          <w:tcPr>
            <w:tcW w:type="dxa" w:w="10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Carlos; Adela</w:t>
            </w:r>
          </w:p>
        </w:tc>
        <w:tc>
          <w:tcPr>
            <w:tcW w:type="dxa" w:w="13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#06; #19; documento 10, riesgo 11</w:t>
            </w:r>
          </w:p>
        </w:tc>
      </w:tr>
      <w:tr>
        <w:trPr>
          <w:tblHeader w:val="false"/>
        </w:trPr>
        <w:tc>
          <w:tcPr>
            <w:tcW w:type="dxa" w:w="21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 punto vende menos de 65 brownies por día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punto pierde plata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 pasa 2 fines de semana seguidos: más degustación, cambiar de pasillo o de punto y llevar ahí la pauta geolocalizada</w:t>
            </w:r>
          </w:p>
        </w:tc>
        <w:tc>
          <w:tcPr>
            <w:tcW w:type="dxa" w:w="10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13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#19, KPI 1</w:t>
            </w:r>
          </w:p>
        </w:tc>
      </w:tr>
      <w:tr>
        <w:trPr>
          <w:tblHeader w:val="false"/>
        </w:trPr>
        <w:tc>
          <w:tcPr>
            <w:tcW w:type="dxa" w:w="21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 pauta cuesta más de S/8 por contacto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Gasto sin contactos. La línea base con promedios de mercado ya es S/8.23 (#17)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Rondas de prueba 5-3-2 para bajar hacia la meta de S/5 (#14, sección 3.7). Si pasa de S/8 durante 2 meses: cambiar el anuncio o el público y pasar soles a degustación, sin cambiar el total del mes</w:t>
            </w:r>
          </w:p>
        </w:tc>
        <w:tc>
          <w:tcPr>
            <w:tcW w:type="dxa" w:w="10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</w:t>
            </w:r>
          </w:p>
        </w:tc>
        <w:tc>
          <w:tcPr>
            <w:tcW w:type="dxa" w:w="13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#14; #17; #19, KPI 12</w:t>
            </w:r>
          </w:p>
        </w:tc>
      </w:tr>
      <w:tr>
        <w:trPr>
          <w:tblHeader w:val="false"/>
        </w:trPr>
        <w:tc>
          <w:tcPr>
            <w:tcW w:type="dxa" w:w="21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Rechazo al saber que tiene sangrecita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Menos compra después de la degustación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Primero se prueba y después se cuenta: "Sí, tiene sangrecita. No, no se nota."</w:t>
            </w:r>
          </w:p>
        </w:tc>
        <w:tc>
          <w:tcPr>
            <w:tcW w:type="dxa" w:w="10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Angie; vendedores</w:t>
            </w:r>
          </w:p>
        </w:tc>
        <w:tc>
          <w:tcPr>
            <w:tcW w:type="dxa" w:w="13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Documento 10, riesgo 8</w:t>
            </w:r>
          </w:p>
        </w:tc>
      </w:tr>
      <w:tr>
        <w:trPr>
          <w:tblHeader w:val="false"/>
        </w:trPr>
        <w:tc>
          <w:tcPr>
            <w:tcW w:type="dxa" w:w="21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padre B encuentra caro el pack de 6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Rodrigo pagaría S/18 a 24 por 6; por WhatsApp cuesta S/26.90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 le muestra primero el pack de 12 a S/4.16 por brownie. El focus 2 debe medir si cierra la brecha [POR CONFIRMAR]</w:t>
            </w:r>
          </w:p>
        </w:tc>
        <w:tc>
          <w:tcPr>
            <w:tcW w:type="dxa" w:w="10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Carlos; Angie</w:t>
            </w:r>
          </w:p>
        </w:tc>
        <w:tc>
          <w:tcPr>
            <w:tcW w:type="dxa" w:w="13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#09, sección 6</w:t>
            </w:r>
          </w:p>
        </w:tc>
      </w:tr>
      <w:tr>
        <w:trPr>
          <w:tblHeader w:val="false"/>
        </w:trPr>
        <w:tc>
          <w:tcPr>
            <w:tcW w:type="dxa" w:w="21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Una pieza se lee como publicidad para niños (Ley 30021)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Multa y daño a la marca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Pauta solo a adultos, niños sin hablar a cámara, nada se regala al niño y visto bueno de Adela en cada pieza</w:t>
            </w:r>
          </w:p>
        </w:tc>
        <w:tc>
          <w:tcPr>
            <w:tcW w:type="dxa" w:w="10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Adela; Angie</w:t>
            </w:r>
          </w:p>
        </w:tc>
        <w:tc>
          <w:tcPr>
            <w:tcW w:type="dxa" w:w="13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Documento 10, riesgo 2; #19, KPI 16</w:t>
            </w:r>
          </w:p>
        </w:tc>
      </w:tr>
      <w:tr>
        <w:trPr>
          <w:tblHeader w:val="false"/>
        </w:trPr>
        <w:tc>
          <w:tcPr>
            <w:tcW w:type="dxa" w:w="21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Una feria pagada capta menos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 pierden S/2,070 sin clientes</w:t>
            </w:r>
          </w:p>
        </w:tc>
        <w:tc>
          <w:tcPr>
            <w:tcW w:type="dxa" w:w="23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Meta de 50 contactos; si no cumple, no se repite (regla 7)</w:t>
            </w:r>
          </w:p>
        </w:tc>
        <w:tc>
          <w:tcPr>
            <w:tcW w:type="dxa" w:w="105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138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Documento 10, riesgo 7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Frase final</w:t>
      </w:r>
    </w:p>
    <w:p>
      <w:pPr>
        <w:spacing w:after="120"/>
      </w:pPr>
      <w:r>
        <w:t xml:space="preserve">En la lonchera de cada día, el niño da su prueba y el padre tiene la suya. </w:t>
      </w:r>
      <w:r>
        <w:rPr>
          <w:b/>
          <w:bCs/>
        </w:rPr>
        <w:t xml:space="preserve">Su prueba: la lonchera vacía. La tuya: el informe de su lote. Hierro medido. Sabor a brownie.</w:t>
      </w:r>
    </w:p>
    <w:p>
      <w:pPr>
        <w:pStyle w:val="Heading1"/>
      </w:pPr>
      <w:r>
        <w:t xml:space="preserve">5. Lo que no coincidía entre documentos y cómo quedó</w:t>
      </w:r>
    </w:p>
    <w:p>
      <w:pPr>
        <w:spacing w:after="120"/>
      </w:pPr>
      <w:r>
        <w:t xml:space="preserve">Revisión final de congruencia del 19-oct-2026. Lo que todavía depende de una decisión queda marcado como pendiente.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Competidores del #2 y del #10.</w:t>
      </w:r>
      <w:r>
        <w:t xml:space="preserve"> Resuelto: los dos usan la misma lista (núcleo Nutri H, Fika, Mamalama y Bimbo Nutra Bien, más Forticao y La Purita; Little Bites y Siete Dragones como referencia). Fika es "libre de azúcar" (fika.pe, 19-oct-2026) y Bimbo Nutra Bien lleva 1 octógono, "Alto en azúcar" (foto del empaque en Plaza Vea). El #4, el #8, el #11 y el #16 no nombran marcas fuera de esa lista.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Escenario de −20 %.</w:t>
      </w:r>
      <w:r>
        <w:t xml:space="preserve"> Resuelto con el Excel v7 (hoja Resumen, nota 5): son 20 % menos ventas por punto (stands), con la recompra que depende de ellos. El año 1 gana S/608 y la caja baja a −S/2,188 en agosto de 2027. El #06, el #17, el #19 y este punto usan ahora esa definición.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ROI.</w:t>
      </w:r>
      <w:r>
        <w:t xml:space="preserve"> Resuelto: quedan dos, con nombre. ROI del negocio, 41.5 % (utilidad neta ÷ aporte de los socios; 42 % en HECHOS_v7). ROI de marketing, 74 % como cifra principal (75 % de atribución), con 132 % como techo y 16 % como piso (#17).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Costo por contacto de la pauta.</w:t>
      </w:r>
      <w:r>
        <w:t xml:space="preserve"> Aclarado: "contacto" (documento 10) y "conversación de WhatsApp" (#14 y #17) son la misma métrica. S/8.23 es la línea base con promedios de mercado; la meta de S/5 se busca con las rondas 5-3-2 (#14, sección 3.7). La línea base ya pasa el límite de alerta de S/8; el #17 (sensibilidad al costo por contacto) muestra que el plan sigue siendo rentable con S/8.23 y con S/10, que la pauta deja de convenir sobre unos S/9.70 por contacto con la cifra principal de atribución, y propone un plan B acordado: si a fin de febrero el costo sigue sobre S/8, pasar S/150 al mes de pauta a degustación [PROPUESTA].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Meta del prelanzamiento.</w:t>
      </w:r>
      <w:r>
        <w:t xml:space="preserve"> Aclarado: los 100 contactos son la lista acumulada al 31-dic-2026 (20 en octubre y 50 en noviembre con el orgánico, documento 10, sección 6.4). La pauta de S/600 debe sumar unos 50 y trae unos 73 en la base (49 en el escenario prudente).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Dónde va la pauta de expectativa.</w:t>
      </w:r>
      <w:r>
        <w:t xml:space="preserve"> Resuelto en el Excel de marketing (celda C8: "Instagram y Facebook"), el documento 10, el #14 y el #17. Pendiente para Carlos: las diapositivas 35 y 36 de la TC5-8 todavía dicen "Instagram y TikTok".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Estados viejos.</w:t>
      </w:r>
      <w:r>
        <w:t xml:space="preserve"> Resuelto: el #00 (sección 2) tiene el estado de hoy, y el #07 y el #19 ya citan el FODA (#4).</w:t>
      </w: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Documentos del proyecto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04-reformulacion/T2/HECHOS_v7.md</w:t>
      </w:r>
      <w:r>
        <w:t xml:space="preserve"> (19-oct-2026) y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04-reformulacion/T2/CLASE-sesion09.md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04-reformulacion/Costeo-presentaciones-AndiBite.xlsx</w:t>
      </w:r>
      <w:r>
        <w:t xml:space="preserve">, modelo v7 (hojas Resumen, Mensual, Anio2 e Inversion), leído el 19-oct-2026.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04-reformulacion/Presupuesto-marketing-AndiBite.xlsx</w:t>
      </w:r>
      <w:r>
        <w:t xml:space="preserve"> (hoja "Presupuesto de marketing"), leído el 19-oct-2026.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04-reformulacion/10-plan-de-marketing-2027.md</w:t>
      </w:r>
      <w:r>
        <w:t xml:space="preserve"> (sección 9, riesgos) y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04-reformulacion/00-RESUMEN-del-proyecto.md</w:t>
      </w:r>
      <w:r>
        <w:t xml:space="preserve"> (secciones 8, 10 y 12).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04-reformulacion/T2/fuente/ppt/plantilla_slides.js</w:t>
      </w:r>
      <w:r>
        <w:t xml:space="preserve"> (portada y cierre de la plantilla).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Puntos del T2 en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04-reformulacion/T2/md/</w:t>
      </w:r>
      <w:r>
        <w:t xml:space="preserve">: T2_00 (secciones 2 y 3), T2_01, T2_02, T2_04 a T2_19.</w:t>
      </w:r>
    </w:p>
    <w:p>
      <w:pPr>
        <w:spacing w:after="120"/>
      </w:pPr>
      <w:r>
        <w:t xml:space="preserve">Fuentes externas citadas (tomadas de los puntos #00 y #05)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INEI y MCLCP Lima Metropolitana. Acta 03-2025, resultados de ENDES 2024 de Lima (agosto de 2025): https://intranet.mesadeconcertacion.org.pe/storage/documentos/2025-08-18/acta-03-mclcp-lm-0625.pdf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INS-CENAN. Estado nutricional de niños peruanos de 5 a 11 años, SIEN-HIS 2024: https://cdn.www.gob.pe/uploads/document/file/8148018/6822458-estado-nutricional-de-ninos-peruanos-de-5-a-11-anos-sien-his-2024.pdf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Ipsos Perú. "83 % considera que los octógonos tienen impacto en sus compras" (21-feb-2025): https://www.ipsos.com/es-pe/83-considera-que-los-octogonos-tienen-impacto-en-sus-compras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Kantar. Consumo saludable en el Perú (15-may-2025): https://www.kantar.com/latin-america/inspiracion/consumidor/2025/consumo-saludable-peru-tendencia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INEI. Hogares con internet de enero a marzo de 2026 (26-jun-2026): https://www.gob.pe/institucion/inei/noticias/1412359-el-62-7-de-los-hogares-del-pais-tuvo-conexion-a-internet-entre-los-meses-de-enero-y-marzo-de-2026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Andina. Lineamientos del MINSA para quioscos escolares, RM 195-2019/MINSA (5-mar-2019): https://andina.pe/ingles/noticia-minsa-estos-alimentos-podran-venderse-quioscos-escolares-vea-lista-744322.aspx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APEIM. Niveles Socioeconómicos 2025 (setiembre de 2025): https://apeim.com.pe/wp-content/uploads/2025/12/Informe-completo-de-NSE-2025.pdf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ONU. Objetivo 2: Hambre cero, meta 2.2: https://www.un.org/sustainabledevelopment/es/hunger/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3A2A"/>
        <w:sz w:val="16"/>
        <w:szCs w:val="16"/>
      </w:rPr>
      <w:t xml:space="preserve">AndiBite · Grupo 2 · T2 Plan de marketing · </w:t>
    </w:r>
    <w:r>
      <w:rPr>
        <w:color w:val="6B3A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1A14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BA403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4A20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bc85121a884bb946cbd474e69e22b29ddd628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 · #21 Portada, resumen ejecutivo y cierre</dc:title>
  <dc:creator>Grupo 2</dc:creator>
  <cp:lastModifiedBy>Un-named</cp:lastModifiedBy>
  <cp:revision>1</cp:revision>
  <dcterms:created xsi:type="dcterms:W3CDTF">2026-10-19T02:16:04.244Z</dcterms:created>
  <dcterms:modified xsi:type="dcterms:W3CDTF">2026-10-19T02:16:04.244Z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