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pPr>
      <w:r>
        <w:drawing>
          <wp:inline distT="0" distB="0" distL="0" distR="0">
            <wp:extent cx="16192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552450"/>
                    </a:xfrm>
                    <a:prstGeom prst="rect">
                      <a:avLst/>
                    </a:prstGeom>
                  </pic:spPr>
                </pic:pic>
              </a:graphicData>
            </a:graphic>
          </wp:inline>
        </w:drawing>
      </w:r>
    </w:p>
    <w:p>
      <w:pPr>
        <w:pStyle w:val="Title"/>
        <w:spacing w:after="120"/>
      </w:pPr>
      <w:r>
        <w:rPr>
          <w:rFonts w:ascii="Calibri" w:cs="Calibri" w:eastAsia="Calibri" w:hAnsi="Calibri"/>
          <w:b/>
          <w:bCs/>
          <w:color w:val="4A2018"/>
          <w:sz w:val="44"/>
          <w:szCs w:val="44"/>
        </w:rPr>
        <w:t xml:space="preserve">AndiBite: resumen del proyecto en 10 minutos</w:t>
      </w:r>
    </w:p>
    <w:p>
      <w:pPr>
        <w:spacing w:after="120"/>
      </w:pPr>
      <w:r>
        <w:t xml:space="preserve">Versión del 10 de octubre de 2026 (</w:t>
      </w:r>
      <w:r>
        <w:rPr>
          <w:b/>
          <w:bCs/>
        </w:rPr>
        <w:t xml:space="preserve">modelo v7</w:t>
      </w:r>
      <w:r>
        <w:t xml:space="preserve">). Las cifras salen del Excel de costeo v7 y de la TC5-8; si otro documento dice algo distinto, mandan esos dos.</w:t>
      </w:r>
    </w:p>
    <w:p>
      <w:pPr>
        <w:pBdr>
          <w:bottom w:val="single" w:color="BA4036" w:sz="6" w:space="1"/>
        </w:pBdr>
        <w:spacing w:after="160"/>
      </w:pPr>
    </w:p>
    <w:p>
      <w:pPr>
        <w:pStyle w:val="Heading1"/>
      </w:pPr>
      <w:r>
        <w:t xml:space="preserve">1. AndiBite en 5 líneas</w:t>
      </w:r>
    </w:p>
    <w:p>
      <w:pPr>
        <w:pStyle w:val="ListParagraph"/>
        <w:numPr>
          <w:ilvl w:val="0"/>
          <w:numId w:val="2"/>
        </w:numPr>
        <w:spacing w:after="60"/>
      </w:pPr>
      <w:r>
        <w:rPr>
          <w:b/>
          <w:bCs/>
        </w:rPr>
        <w:t xml:space="preserve">Qué es:</w:t>
      </w:r>
      <w:r>
        <w:t xml:space="preserve"> un mini brownie de 20 g, en 3 sabores, con sangrecita de res en polvo que aporta hierro. Aguanta la mochila sin frío.</w:t>
      </w:r>
    </w:p>
    <w:p>
      <w:pPr>
        <w:pStyle w:val="ListParagraph"/>
        <w:numPr>
          <w:ilvl w:val="0"/>
          <w:numId w:val="2"/>
        </w:numPr>
        <w:spacing w:after="60"/>
      </w:pPr>
      <w:r>
        <w:rPr>
          <w:b/>
          <w:bCs/>
        </w:rPr>
        <w:t xml:space="preserve">Para quién:</w:t>
      </w:r>
      <w:r>
        <w:t xml:space="preserve"> padres de 32 a 45 años, de nivel socioeconómico A y B, con hijos de 4 a 11 años en colegio privado de Lima.</w:t>
      </w:r>
    </w:p>
    <w:p>
      <w:pPr>
        <w:pStyle w:val="ListParagraph"/>
        <w:numPr>
          <w:ilvl w:val="0"/>
          <w:numId w:val="2"/>
        </w:numPr>
        <w:spacing w:after="60"/>
      </w:pPr>
      <w:r>
        <w:rPr>
          <w:b/>
          <w:bCs/>
        </w:rPr>
        <w:t xml:space="preserve">Por qué es distinto:</w:t>
      </w:r>
      <w:r>
        <w:t xml:space="preserve"> sabe a brownie, así que el niño se lo come. El hierro se mide en laboratorio y el padre lo ve en la app "Andi, Misión Hierro". La meta es que no lleve octógonos.</w:t>
      </w:r>
    </w:p>
    <w:p>
      <w:pPr>
        <w:pStyle w:val="ListParagraph"/>
        <w:numPr>
          <w:ilvl w:val="0"/>
          <w:numId w:val="2"/>
        </w:numPr>
        <w:spacing w:after="60"/>
      </w:pPr>
      <w:r>
        <w:rPr>
          <w:b/>
          <w:bCs/>
        </w:rPr>
        <w:t xml:space="preserve">Cómo se fabrica:</w:t>
      </w:r>
      <w:r>
        <w:t xml:space="preserve"> sin planta propia. Una planta con permisos lo hace por encargo.</w:t>
      </w:r>
    </w:p>
    <w:p>
      <w:pPr>
        <w:pStyle w:val="ListParagraph"/>
        <w:numPr>
          <w:ilvl w:val="0"/>
          <w:numId w:val="2"/>
        </w:numPr>
        <w:spacing w:after="60"/>
      </w:pPr>
      <w:r>
        <w:rPr>
          <w:b/>
          <w:bCs/>
        </w:rPr>
        <w:t xml:space="preserve">Cómo gana dinero:</w:t>
      </w:r>
      <w:r>
        <w:t xml:space="preserve"> se vende cara a cara en stands, ferias, eventos, quioscos de colegio y tiendas naturistas, y la recompra va por WhatsApp. Año 1: S/244,728 en ventas y S/10,379 de utilidad neta.</w:t>
      </w:r>
    </w:p>
    <w:p>
      <w:pPr>
        <w:pStyle w:val="Heading1"/>
      </w:pPr>
      <w:r>
        <w:t xml:space="preserve">2. El problema</w:t>
      </w:r>
    </w:p>
    <w:p>
      <w:pPr>
        <w:spacing w:after="120"/>
      </w:pPr>
      <w:r>
        <w:t xml:space="preserve">Muchos niños de Lima comen poco hierro. Lo que tiene hierro (hígado, sangrecita, menestras) suele volver intacto en la lonchera.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14"/>
        <w:gridCol w:w="1170"/>
        <w:gridCol w:w="2476"/>
      </w:tblGrid>
      <w:tr>
        <w:trPr>
          <w:tblHeader/>
        </w:trPr>
        <w:tc>
          <w:tcPr>
            <w:tcW w:type="dxa" w:w="5714"/>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Dato</w:t>
            </w:r>
          </w:p>
        </w:tc>
        <w:tc>
          <w:tcPr>
            <w:tcW w:type="dxa" w:w="1170"/>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Cifra</w:t>
            </w:r>
          </w:p>
        </w:tc>
        <w:tc>
          <w:tcPr>
            <w:tcW w:type="dxa" w:w="2476"/>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Fuente</w:t>
            </w:r>
          </w:p>
        </w:tc>
      </w:tr>
      <w:tr>
        <w:trPr>
          <w:tblHeader w:val="off"/>
        </w:trPr>
        <w:tc>
          <w:tcPr>
            <w:tcW w:type="dxa" w:w="571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Anemia en niños de 6 a 35 meses, Lima Metropolitana</w:t>
            </w:r>
          </w:p>
        </w:tc>
        <w:tc>
          <w:tcPr>
            <w:tcW w:type="dxa" w:w="11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24.0 %</w:t>
            </w:r>
          </w:p>
        </w:tc>
        <w:tc>
          <w:tcPr>
            <w:tcW w:type="dxa" w:w="247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INEI, ENDES 2024</w:t>
            </w:r>
          </w:p>
        </w:tc>
      </w:tr>
      <w:tr>
        <w:trPr>
          <w:tblHeader w:val="off"/>
        </w:trPr>
        <w:tc>
          <w:tcPr>
            <w:tcW w:type="dxa" w:w="571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Anemia en escolares de 5 a 11 años de Lima atendidos por el MINSA</w:t>
            </w:r>
          </w:p>
        </w:tc>
        <w:tc>
          <w:tcPr>
            <w:tcW w:type="dxa" w:w="11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22.5 %</w:t>
            </w:r>
          </w:p>
        </w:tc>
        <w:tc>
          <w:tcPr>
            <w:tcW w:type="dxa" w:w="247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INS-CENAN, SIEN-HIS 2024-I</w:t>
            </w:r>
          </w:p>
        </w:tc>
      </w:tr>
      <w:tr>
        <w:trPr>
          <w:tblHeader w:val="off"/>
        </w:trPr>
        <w:tc>
          <w:tcPr>
            <w:tcW w:type="dxa" w:w="571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Desconfían de que un envasado sea de verdad saludable</w:t>
            </w:r>
          </w:p>
        </w:tc>
        <w:tc>
          <w:tcPr>
            <w:tcW w:type="dxa" w:w="11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42 %</w:t>
            </w:r>
          </w:p>
        </w:tc>
        <w:tc>
          <w:tcPr>
            <w:tcW w:type="dxa" w:w="247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Kantar 2025</w:t>
            </w:r>
          </w:p>
        </w:tc>
      </w:tr>
      <w:tr>
        <w:trPr>
          <w:tblHeader w:val="off"/>
        </w:trPr>
        <w:tc>
          <w:tcPr>
            <w:tcW w:type="dxa" w:w="571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Cambiaron su compra por los octógonos</w:t>
            </w:r>
          </w:p>
        </w:tc>
        <w:tc>
          <w:tcPr>
            <w:tcW w:type="dxa" w:w="11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83 %</w:t>
            </w:r>
          </w:p>
        </w:tc>
        <w:tc>
          <w:tcPr>
            <w:tcW w:type="dxa" w:w="247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Ipsos Perú 2025</w:t>
            </w:r>
          </w:p>
        </w:tc>
      </w:tr>
    </w:tbl>
    <w:p>
      <w:pPr>
        <w:spacing w:after="80"/>
      </w:pPr>
    </w:p>
    <w:p>
      <w:pPr>
        <w:spacing w:after="120"/>
      </w:pPr>
      <w:r>
        <w:t xml:space="preserve">No hay una cifra pública de anemia para los NSE A y B [POR CONFIRMAR]. Por eso con el padre A/B no hablamos de "anemia": hablamos de hierro, energía y del control con el pediatra.</w:t>
      </w:r>
    </w:p>
    <w:p>
      <w:pPr>
        <w:pStyle w:val="Heading1"/>
      </w:pPr>
      <w:r>
        <w:t xml:space="preserve">3. Cómo llegamos aquí</w:t>
      </w:r>
    </w:p>
    <w:p>
      <w:pPr>
        <w:pStyle w:val="ListParagraph"/>
        <w:numPr>
          <w:ilvl w:val="0"/>
          <w:numId w:val="3"/>
        </w:numPr>
        <w:spacing w:after="60"/>
      </w:pPr>
      <w:r>
        <w:rPr>
          <w:b/>
          <w:bCs/>
        </w:rPr>
        <w:t xml:space="preserve">Semanas 1 a 4.</w:t>
      </w:r>
      <w:r>
        <w:t xml:space="preserve"> El producto original fue "AndyBites", pensado para mamás de Lima Norte de NSE C/B. Hicimos 10 entrevistas y un focus group virtual (focus 1). Aprendimos que la sangrecita se rechaza en comidas saladas pero se acepta escondida en algo dulce.</w:t>
      </w:r>
    </w:p>
    <w:p>
      <w:pPr>
        <w:pStyle w:val="ListParagraph"/>
        <w:numPr>
          <w:ilvl w:val="0"/>
          <w:numId w:val="3"/>
        </w:numPr>
        <w:spacing w:after="60"/>
      </w:pPr>
      <w:r>
        <w:rPr>
          <w:b/>
          <w:bCs/>
        </w:rPr>
        <w:t xml:space="preserve">El precio no alcanzaba.</w:t>
      </w:r>
      <w:r>
        <w:t xml:space="preserve"> En Lima Norte pagan de S/3 a S/5 por porción. Con esos insumos, ese precio no dejaba margen.</w:t>
      </w:r>
    </w:p>
    <w:p>
      <w:pPr>
        <w:pStyle w:val="ListParagraph"/>
        <w:numPr>
          <w:ilvl w:val="0"/>
          <w:numId w:val="3"/>
        </w:numPr>
        <w:spacing w:after="60"/>
      </w:pPr>
      <w:r>
        <w:rPr>
          <w:b/>
          <w:bCs/>
        </w:rPr>
        <w:t xml:space="preserve">Cambio de público.</w:t>
      </w:r>
      <w:r>
        <w:t xml:space="preserve"> En la semana 5 pasamos a padres de NSE A y B, que leen etiquetas e invierten en salud.</w:t>
      </w:r>
    </w:p>
    <w:p>
      <w:pPr>
        <w:pStyle w:val="ListParagraph"/>
        <w:numPr>
          <w:ilvl w:val="0"/>
          <w:numId w:val="3"/>
        </w:numPr>
        <w:spacing w:after="60"/>
      </w:pPr>
      <w:r>
        <w:rPr>
          <w:b/>
          <w:bCs/>
        </w:rPr>
        <w:t xml:space="preserve">Reformulación (3 de octubre de 2026).</w:t>
      </w:r>
      <w:r>
        <w:t xml:space="preserve"> Pasamos a sangrecita de res en polvo, 3 sabores, maquila, la meta de no llevar octógono y la app.</w:t>
      </w:r>
    </w:p>
    <w:p>
      <w:pPr>
        <w:pStyle w:val="ListParagraph"/>
        <w:numPr>
          <w:ilvl w:val="0"/>
          <w:numId w:val="3"/>
        </w:numPr>
        <w:spacing w:after="60"/>
      </w:pPr>
      <w:r>
        <w:rPr>
          <w:b/>
          <w:bCs/>
        </w:rPr>
        <w:t xml:space="preserve">Modelo v7 (10 de octubre de 2026).</w:t>
      </w:r>
      <w:r>
        <w:t xml:space="preserve"> La venta física queda como canal principal. Hay solo 2 ferias pagadas, todo el personal es pagado y los precios están cerrados. El esfuerzo hacia A y B es parejo.</w:t>
      </w:r>
    </w:p>
    <w:p>
      <w:pPr>
        <w:pStyle w:val="Heading1"/>
      </w:pPr>
      <w:r>
        <w:t xml:space="preserve">4. El producto</w:t>
      </w:r>
    </w:p>
    <w:p>
      <w:pPr>
        <w:spacing w:after="120"/>
      </w:pPr>
      <w:r>
        <w:rPr>
          <w:b/>
          <w:bCs/>
        </w:rPr>
        <w:t xml:space="preserve">Sabores:</w:t>
      </w:r>
      <w:r>
        <w:t xml:space="preserve"> Chispa (chocolate con chispas), Andi (chocolate, plátano, canela y cañihua) y Lúcu (chocolate y lúcuma).</w:t>
      </w:r>
    </w:p>
    <w:p>
      <w:pPr>
        <w:spacing w:after="120"/>
      </w:pPr>
      <w:r>
        <w:rPr>
          <w:b/>
          <w:bCs/>
        </w:rPr>
        <w:t xml:space="preserve">Precios con IGV (fijos):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7"/>
        <w:gridCol w:w="1278"/>
        <w:gridCol w:w="1975"/>
        <w:gridCol w:w="1226"/>
        <w:gridCol w:w="3254"/>
      </w:tblGrid>
      <w:tr>
        <w:trPr>
          <w:tblHeader/>
        </w:trPr>
        <w:tc>
          <w:tcPr>
            <w:tcW w:type="dxa" w:w="1627"/>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Canal</w:t>
            </w:r>
          </w:p>
        </w:tc>
        <w:tc>
          <w:tcPr>
            <w:tcW w:type="dxa" w:w="1278"/>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Unidad</w:t>
            </w:r>
          </w:p>
        </w:tc>
        <w:tc>
          <w:tcPr>
            <w:tcW w:type="dxa" w:w="197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Caja de 3 sabores</w:t>
            </w:r>
          </w:p>
        </w:tc>
        <w:tc>
          <w:tcPr>
            <w:tcW w:type="dxa" w:w="1226"/>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Pack de 6</w:t>
            </w:r>
          </w:p>
        </w:tc>
        <w:tc>
          <w:tcPr>
            <w:tcW w:type="dxa" w:w="3254"/>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Pack de 12 "Semana completa"</w:t>
            </w:r>
          </w:p>
        </w:tc>
      </w:tr>
      <w:tr>
        <w:trPr>
          <w:tblHeader w:val="off"/>
        </w:trPr>
        <w:tc>
          <w:tcPr>
            <w:tcW w:type="dxa" w:w="16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Stand y ferias</w:t>
            </w:r>
          </w:p>
        </w:tc>
        <w:tc>
          <w:tcPr>
            <w:tcW w:type="dxa" w:w="1278"/>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S/6.00</w:t>
            </w:r>
          </w:p>
        </w:tc>
        <w:tc>
          <w:tcPr>
            <w:tcW w:type="dxa" w:w="197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S/16.50</w:t>
            </w:r>
          </w:p>
        </w:tc>
        <w:tc>
          <w:tcPr>
            <w:tcW w:type="dxa" w:w="122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S/27.90</w:t>
            </w:r>
          </w:p>
        </w:tc>
        <w:tc>
          <w:tcPr>
            <w:tcW w:type="dxa" w:w="325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S/51.90</w:t>
            </w:r>
          </w:p>
        </w:tc>
      </w:tr>
      <w:tr>
        <w:trPr>
          <w:tblHeader w:val="off"/>
        </w:trPr>
        <w:tc>
          <w:tcPr>
            <w:tcW w:type="dxa" w:w="1627"/>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WhatsApp</w:t>
            </w:r>
          </w:p>
        </w:tc>
        <w:tc>
          <w:tcPr>
            <w:tcW w:type="dxa" w:w="1278"/>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no se vende</w:t>
            </w:r>
          </w:p>
        </w:tc>
        <w:tc>
          <w:tcPr>
            <w:tcW w:type="dxa" w:w="197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S/12.00</w:t>
            </w:r>
          </w:p>
        </w:tc>
        <w:tc>
          <w:tcPr>
            <w:tcW w:type="dxa" w:w="122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S/26.90</w:t>
            </w:r>
          </w:p>
        </w:tc>
        <w:tc>
          <w:tcPr>
            <w:tcW w:type="dxa" w:w="325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S/49.90</w:t>
            </w:r>
          </w:p>
        </w:tc>
      </w:tr>
    </w:tbl>
    <w:p>
      <w:pPr>
        <w:spacing w:after="80"/>
      </w:pPr>
    </w:p>
    <w:p>
      <w:pPr>
        <w:pStyle w:val="ListParagraph"/>
        <w:numPr>
          <w:ilvl w:val="0"/>
          <w:numId w:val="4"/>
        </w:numPr>
        <w:spacing w:after="60"/>
      </w:pPr>
      <w:r>
        <w:t xml:space="preserve">En el quiosco escolar el alumno paga S/4.00 y AndiBite recibe S/3.20.</w:t>
      </w:r>
    </w:p>
    <w:p>
      <w:pPr>
        <w:pStyle w:val="ListParagraph"/>
        <w:numPr>
          <w:ilvl w:val="0"/>
          <w:numId w:val="4"/>
        </w:numPr>
        <w:spacing w:after="60"/>
      </w:pPr>
      <w:r>
        <w:t xml:space="preserve">En la tienda naturista el pack de 6 está a S/28.90 y AndiBite recibe S/18.50.</w:t>
      </w:r>
    </w:p>
    <w:p>
      <w:pPr>
        <w:pStyle w:val="ListParagraph"/>
        <w:numPr>
          <w:ilvl w:val="0"/>
          <w:numId w:val="4"/>
        </w:numPr>
        <w:spacing w:after="60"/>
      </w:pPr>
      <w:r>
        <w:t xml:space="preserve">No hay suscripción.</w:t>
      </w:r>
    </w:p>
    <w:p>
      <w:pPr>
        <w:spacing w:after="120"/>
      </w:pPr>
      <w:r>
        <w:t xml:space="preserve">Por 20 g, AndiBite cuesta S/4.48 (pack por WhatsApp) frente a S/4.00 de Fika: un poco más, pero es el único que mide su hierro.</w:t>
      </w:r>
    </w:p>
    <w:p>
      <w:pPr>
        <w:spacing w:after="120"/>
      </w:pPr>
      <w:r>
        <w:rPr>
          <w:b/>
          <w:bCs/>
        </w:rPr>
        <w:t xml:space="preserve">Sin octógono, como meta.</w:t>
      </w:r>
      <w:r>
        <w:t xml:space="preserve"> El octógono es el sello negro "Alto en azúcar", que se pone desde 10 g de azúcar por 100 g. Para quedar por debajo, la receta lleva eritritol (un endulzante que no cuenta como azúcar) y plátano. Es clave porque el quiosco escolar solo puede vender productos sin octógono. Lo confirma el laboratorio [POR CONFIRMAR].</w:t>
      </w:r>
    </w:p>
    <w:p>
      <w:pPr>
        <w:spacing w:after="120"/>
      </w:pPr>
      <w:r>
        <w:rPr>
          <w:b/>
          <w:bCs/>
        </w:rPr>
        <w:t xml:space="preserve">Hierro medido.</w:t>
      </w:r>
      <w:r>
        <w:t xml:space="preserve"> La sangrecita aporta </w:t>
      </w:r>
      <w:r>
        <w:rPr>
          <w:b/>
          <w:bCs/>
        </w:rPr>
        <w:t xml:space="preserve">hierro hemo</w:t>
      </w:r>
      <w:r>
        <w:t xml:space="preserve">, el de origen animal, que el cuerpo absorbe mejor. El cálculo de la receta da cerca de 1.9 mg por brownie [POR CONFIRMAR en laboratorio]. El resultado se publica en la app. No decimos "previene la anemia" porque se puede sancionar como publicidad engañosa.</w:t>
      </w:r>
    </w:p>
    <w:p>
      <w:pPr>
        <w:spacing w:after="120"/>
      </w:pPr>
      <w:r>
        <w:rPr>
          <w:b/>
          <w:bCs/>
        </w:rPr>
        <w:t xml:space="preserve">Cómo se fabrica.</w:t>
      </w:r>
      <w:r>
        <w:t xml:space="preserve"> Trabajamos por </w:t>
      </w:r>
      <w:r>
        <w:rPr>
          <w:b/>
          <w:bCs/>
        </w:rPr>
        <w:t xml:space="preserve">maquila</w:t>
      </w:r>
      <w:r>
        <w:t xml:space="preserve">: una planta con certificación sanitaria hornea y empaca por encargo, a S/0.45 por brownie. Las candidatas son MAKING, Panificadora Unión e INDDA-UNALM [POR CONFIRMAR]. La planta solo hidrata el polvo de sangrecita, que compramos listo a S/300 por kg. AndiBite S.A.C. es la titular del </w:t>
      </w:r>
      <w:r>
        <w:rPr>
          <w:b/>
          <w:bCs/>
        </w:rPr>
        <w:t xml:space="preserve">registro sanitario</w:t>
      </w:r>
      <w:r>
        <w:t xml:space="preserve">, el permiso de DIGESA para vender un alimento envasado.</w:t>
      </w:r>
    </w:p>
    <w:p>
      <w:pPr>
        <w:pStyle w:val="Heading1"/>
      </w:pPr>
      <w:r>
        <w:t xml:space="preserve">5. La app "Andi, Misión Hierro"</w:t>
      </w:r>
    </w:p>
    <w:p>
      <w:pPr>
        <w:spacing w:after="120"/>
      </w:pPr>
      <w:r>
        <w:t xml:space="preserve">Es una </w:t>
      </w:r>
      <w:r>
        <w:rPr>
          <w:b/>
          <w:bCs/>
        </w:rPr>
        <w:t xml:space="preserve">PWA</w:t>
      </w:r>
      <w:r>
        <w:t xml:space="preserve">: una app web que se abre con el QR de cada envase, sin descargar nada de una tienda de apps. El prototipo ya funciona.</w:t>
      </w:r>
    </w:p>
    <w:p>
      <w:pPr>
        <w:pStyle w:val="ListParagraph"/>
        <w:numPr>
          <w:ilvl w:val="0"/>
          <w:numId w:val="4"/>
        </w:numPr>
        <w:spacing w:after="60"/>
      </w:pPr>
      <w:r>
        <w:rPr>
          <w:b/>
          <w:bCs/>
        </w:rPr>
        <w:t xml:space="preserve">Modo padres:</w:t>
      </w:r>
      <w:r>
        <w:t xml:space="preserve"> muestra el hierro medido del lote, el semáforo de hierro de la semana, un plan de loncheras con inteligencia artificial (Gemini) y el recordatorio del control de hemoglobina. Permite la recompra en un clic por WhatsApp, avisa cuando se acaba el pack y dice dónde estamos el fin de semana.</w:t>
      </w:r>
    </w:p>
    <w:p>
      <w:pPr>
        <w:pStyle w:val="ListParagraph"/>
        <w:numPr>
          <w:ilvl w:val="0"/>
          <w:numId w:val="4"/>
        </w:numPr>
        <w:spacing w:after="60"/>
      </w:pPr>
      <w:r>
        <w:rPr>
          <w:b/>
          <w:bCs/>
        </w:rPr>
        <w:t xml:space="preserve">Modo niños "Misión Hierro":</w:t>
      </w:r>
      <w:r>
        <w:t xml:space="preserve"> Andi, una llamita, guía 4 juegos educativos (Arma tu plato fuerte, Memoria andina, ¿Verdad o mito? y Ruta de hábitos). El padre lo abre con candado y fija el tiempo de juego.</w:t>
      </w:r>
    </w:p>
    <w:p>
      <w:pPr>
        <w:spacing w:after="120"/>
      </w:pPr>
      <w:r>
        <w:rPr>
          <w:b/>
          <w:bCs/>
        </w:rPr>
        <w:t xml:space="preserve">Cumple la ley.</w:t>
      </w:r>
      <w:r>
        <w:t xml:space="preserve"> La Ley 30021 de alimentación saludable (artículo 8) prohíbe incentivar la compra en niños. Por eso el modo niños no tiene compras, ni publicidad, ni premios por comprar. Por la Ley 29733 de datos personales, los datos de la familia quedan en el teléfono.</w:t>
      </w:r>
    </w:p>
    <w:p>
      <w:pPr>
        <w:spacing w:after="120"/>
      </w:pPr>
      <w:r>
        <w:rPr>
          <w:b/>
          <w:bCs/>
        </w:rPr>
        <w:t xml:space="preserve">Valor para el negocio:</w:t>
      </w:r>
      <w:r>
        <w:t xml:space="preserve"> da un dato verificable y empuja la recompra. Cuesta S/2,000 terminarla, S/250 al mes y S/0.04 por código impreso. La meta es que se escanee el 30 % de los envases en el año 1.</w:t>
      </w:r>
    </w:p>
    <w:p>
      <w:pPr>
        <w:pStyle w:val="Heading1"/>
      </w:pPr>
      <w:r>
        <w:t xml:space="preserve">6. A quién le vendemos</w:t>
      </w:r>
    </w:p>
    <w:p>
      <w:pPr>
        <w:spacing w:after="120"/>
      </w:pPr>
      <w:r>
        <w:t xml:space="preserve">El </w:t>
      </w:r>
      <w:r>
        <w:rPr>
          <w:b/>
          <w:bCs/>
        </w:rPr>
        <w:t xml:space="preserve">NSE</w:t>
      </w:r>
      <w:r>
        <w:t xml:space="preserve"> (nivel socioeconómico) lo mide </w:t>
      </w:r>
      <w:r>
        <w:rPr>
          <w:b/>
          <w:bCs/>
        </w:rPr>
        <w:t xml:space="preserve">APEIM</w:t>
      </w:r>
      <w:r>
        <w:t xml:space="preserve"> (Asociación Peruana de Empresas de Inteligencia de Mercados). Ponemos el mismo esfuerzo en A y en B. En Lima Top (zona 7) el 51.4 % de los hogares es B y el 20.2 % es A. En Lima Moderna (zona 6) el 51.7 % es B y el 11.8 % es A. Así, </w:t>
      </w:r>
      <w:r>
        <w:rPr>
          <w:b/>
          <w:bCs/>
        </w:rPr>
        <w:t xml:space="preserve">unos 7 de cada 10 hogares A/B son B</w:t>
      </w:r>
      <w:r>
        <w:t xml:space="preserve"> (APEIM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1"/>
        <w:gridCol w:w="4104"/>
        <w:gridCol w:w="4105"/>
      </w:tblGrid>
      <w:tr>
        <w:trPr>
          <w:tblHeader/>
        </w:trPr>
        <w:tc>
          <w:tcPr>
            <w:tcW w:type="dxa" w:w="1151"/>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tc>
        <w:tc>
          <w:tcPr>
            <w:tcW w:type="dxa" w:w="4104"/>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Claudia Mendoza (A)</w:t>
            </w:r>
          </w:p>
        </w:tc>
        <w:tc>
          <w:tcPr>
            <w:tcW w:type="dxa" w:w="410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Rodrigo Salazar (B)</w:t>
            </w:r>
          </w:p>
        </w:tc>
      </w:tr>
      <w:tr>
        <w:trPr>
          <w:tblHeader w:val="off"/>
        </w:trPr>
        <w:tc>
          <w:tcPr>
            <w:tcW w:type="dxa" w:w="1151"/>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Perfil</w:t>
            </w:r>
          </w:p>
        </w:tc>
        <w:tc>
          <w:tcPr>
            <w:tcW w:type="dxa" w:w="410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38 años, San Borja, abogada, hijos de 7 y 4, hogar de S/13,500</w:t>
            </w:r>
          </w:p>
        </w:tc>
        <w:tc>
          <w:tcPr>
            <w:tcW w:type="dxa" w:w="410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40 años, San Miguel, jefe de logística, hijos de 9 y 6, hogar de unos S/8,500</w:t>
            </w:r>
          </w:p>
        </w:tc>
      </w:tr>
      <w:tr>
        <w:trPr>
          <w:tblHeader w:val="off"/>
        </w:trPr>
        <w:tc>
          <w:tcPr>
            <w:tcW w:type="dxa" w:w="1151"/>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Compra</w:t>
            </w:r>
          </w:p>
        </w:tc>
        <w:tc>
          <w:tcPr>
            <w:tcW w:type="dxa" w:w="410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Lee etiquetas, pregunta al pediatra; Wong, Flora &amp; Fauna, Instagram</w:t>
            </w:r>
          </w:p>
        </w:tc>
        <w:tc>
          <w:tcPr>
            <w:tcW w:type="dxa" w:w="410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Mira el precio por brownie; Plaza Vea, apps, WhatsApp; pagaría S/18 a 24 por 6</w:t>
            </w:r>
          </w:p>
        </w:tc>
      </w:tr>
      <w:tr>
        <w:trPr>
          <w:tblHeader w:val="off"/>
        </w:trPr>
        <w:tc>
          <w:tcPr>
            <w:tcW w:type="dxa" w:w="1151"/>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Frase</w:t>
            </w:r>
          </w:p>
        </w:tc>
        <w:tc>
          <w:tcPr>
            <w:tcW w:type="dxa" w:w="410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"Todo lo que le hace bien, mi hijo lo escupe."</w:t>
            </w:r>
          </w:p>
        </w:tc>
        <w:tc>
          <w:tcPr>
            <w:tcW w:type="dxa" w:w="410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"No me vendas salud, véndeme una mañana menos."</w:t>
            </w:r>
          </w:p>
        </w:tc>
      </w:tr>
    </w:tbl>
    <w:p>
      <w:pPr>
        <w:spacing w:after="80"/>
      </w:pPr>
    </w:p>
    <w:p>
      <w:pPr>
        <w:spacing w:after="120"/>
      </w:pPr>
      <w:r>
        <w:rPr>
          <w:b/>
          <w:bCs/>
        </w:rPr>
        <w:t xml:space="preserve">Mercado:</w:t>
      </w:r>
      <w:r>
        <w:t xml:space="preserve"> el núcleo son 46,000 hogares A/B con niños de 4 a 11 en Lima Top y Lima Moderna, que suman S/17.3 millones al año. El mercado al que apuntamos son 168,000 hogares A/B de toda Lima (S/62.8 millones). El mercado total son 932,000 hogares (S/130.9 millones).</w:t>
      </w:r>
    </w:p>
    <w:p>
      <w:pPr>
        <w:pStyle w:val="Heading1"/>
      </w:pPr>
      <w:r>
        <w:t xml:space="preserve">7. Dónde y cómo vendemos</w:t>
      </w:r>
    </w:p>
    <w:p>
      <w:pPr>
        <w:spacing w:after="120"/>
      </w:pPr>
      <w:r>
        <w:t xml:space="preserve">El niño prueba en el stand y el padre compra ahí mismo. El año 1 va de enero a diciembre de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6"/>
        <w:gridCol w:w="1153"/>
        <w:gridCol w:w="4738"/>
        <w:gridCol w:w="1153"/>
      </w:tblGrid>
      <w:tr>
        <w:trPr>
          <w:tblHeader/>
        </w:trPr>
        <w:tc>
          <w:tcPr>
            <w:tcW w:type="dxa" w:w="2316"/>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Punto de fin de semana</w:t>
            </w:r>
          </w:p>
        </w:tc>
        <w:tc>
          <w:tcPr>
            <w:tcW w:type="dxa" w:w="1153"/>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Desde</w:t>
            </w:r>
          </w:p>
        </w:tc>
        <w:tc>
          <w:tcPr>
            <w:tcW w:type="dxa" w:w="4738"/>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Dónde</w:t>
            </w:r>
          </w:p>
        </w:tc>
        <w:tc>
          <w:tcPr>
            <w:tcW w:type="dxa" w:w="1153"/>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Segmento</w:t>
            </w:r>
          </w:p>
        </w:tc>
      </w:tr>
      <w:tr>
        <w:trPr>
          <w:tblHeader w:val="off"/>
        </w:trPr>
        <w:tc>
          <w:tcPr>
            <w:tcW w:type="dxa" w:w="231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1</w:t>
            </w:r>
          </w:p>
        </w:tc>
        <w:tc>
          <w:tcPr>
            <w:tcW w:type="dxa" w:w="115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enero</w:t>
            </w:r>
          </w:p>
        </w:tc>
        <w:tc>
          <w:tcPr>
            <w:tcW w:type="dxa" w:w="4738"/>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Jockey Plaza</w:t>
            </w:r>
          </w:p>
        </w:tc>
        <w:tc>
          <w:tcPr>
            <w:tcW w:type="dxa" w:w="115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 y B</w:t>
            </w:r>
          </w:p>
        </w:tc>
      </w:tr>
      <w:tr>
        <w:trPr>
          <w:tblHeader w:val="off"/>
        </w:trPr>
        <w:tc>
          <w:tcPr>
            <w:tcW w:type="dxa" w:w="231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2</w:t>
            </w:r>
          </w:p>
        </w:tc>
        <w:tc>
          <w:tcPr>
            <w:tcW w:type="dxa" w:w="115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febrero</w:t>
            </w:r>
          </w:p>
        </w:tc>
        <w:tc>
          <w:tcPr>
            <w:tcW w:type="dxa" w:w="4738"/>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Real Plaza Salaverry u Open Plaza Angamos</w:t>
            </w:r>
          </w:p>
        </w:tc>
        <w:tc>
          <w:tcPr>
            <w:tcW w:type="dxa" w:w="115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B</w:t>
            </w:r>
          </w:p>
        </w:tc>
      </w:tr>
      <w:tr>
        <w:trPr>
          <w:tblHeader w:val="off"/>
        </w:trPr>
        <w:tc>
          <w:tcPr>
            <w:tcW w:type="dxa" w:w="231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3</w:t>
            </w:r>
          </w:p>
        </w:tc>
        <w:tc>
          <w:tcPr>
            <w:tcW w:type="dxa" w:w="115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agosto</w:t>
            </w:r>
          </w:p>
        </w:tc>
        <w:tc>
          <w:tcPr>
            <w:tcW w:type="dxa" w:w="4738"/>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La Rambla San Borja o carrito en Wong/Vivanda</w:t>
            </w:r>
          </w:p>
        </w:tc>
        <w:tc>
          <w:tcPr>
            <w:tcW w:type="dxa" w:w="115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w:t>
            </w:r>
          </w:p>
        </w:tc>
      </w:tr>
    </w:tbl>
    <w:p>
      <w:pPr>
        <w:spacing w:after="80"/>
      </w:pPr>
    </w:p>
    <w:p>
      <w:pPr>
        <w:pStyle w:val="ListParagraph"/>
        <w:numPr>
          <w:ilvl w:val="0"/>
          <w:numId w:val="4"/>
        </w:numPr>
        <w:spacing w:after="60"/>
      </w:pPr>
      <w:r>
        <w:rPr>
          <w:b/>
          <w:bCs/>
        </w:rPr>
        <w:t xml:space="preserve">Stands:</w:t>
      </w:r>
      <w:r>
        <w:t xml:space="preserve"> cada punto cuesta S/600 al mes más el vendedor (S/90 por día). También hay carrito en Plaza Vea (B).</w:t>
      </w:r>
    </w:p>
    <w:p>
      <w:pPr>
        <w:pStyle w:val="ListParagraph"/>
        <w:numPr>
          <w:ilvl w:val="0"/>
          <w:numId w:val="4"/>
        </w:numPr>
        <w:spacing w:after="60"/>
      </w:pPr>
      <w:r>
        <w:rPr>
          <w:b/>
          <w:bCs/>
        </w:rPr>
        <w:t xml:space="preserve">Ferias pagadas:</w:t>
      </w:r>
      <w:r>
        <w:t xml:space="preserve"> solo 2, la campaña escolar de febrero y el Día del Niño Peruano (11 de abril). Cada una cuesta S/2,070 y vende unos 700 brownies.</w:t>
      </w:r>
    </w:p>
    <w:p>
      <w:pPr>
        <w:pStyle w:val="ListParagraph"/>
        <w:numPr>
          <w:ilvl w:val="0"/>
          <w:numId w:val="4"/>
        </w:numPr>
        <w:spacing w:after="60"/>
      </w:pPr>
      <w:r>
        <w:rPr>
          <w:b/>
          <w:bCs/>
        </w:rPr>
        <w:t xml:space="preserve">Eventos sin costo:</w:t>
      </w:r>
      <w:r>
        <w:t xml:space="preserve"> kermeses, cumpleaños y ferias saludables. Son 40 en el año, de unos 150 brownies cada uno.</w:t>
      </w:r>
    </w:p>
    <w:p>
      <w:pPr>
        <w:pStyle w:val="ListParagraph"/>
        <w:numPr>
          <w:ilvl w:val="0"/>
          <w:numId w:val="4"/>
        </w:numPr>
        <w:spacing w:after="60"/>
      </w:pPr>
      <w:r>
        <w:rPr>
          <w:b/>
          <w:bCs/>
        </w:rPr>
        <w:t xml:space="preserve">Colegios, desde marzo:</w:t>
      </w:r>
      <w:r>
        <w:t xml:space="preserve"> quioscos de colegios de pensión alta (A) y de cadenas como Innova Schools (B).</w:t>
      </w:r>
    </w:p>
    <w:p>
      <w:pPr>
        <w:pStyle w:val="ListParagraph"/>
        <w:numPr>
          <w:ilvl w:val="0"/>
          <w:numId w:val="4"/>
        </w:numPr>
        <w:spacing w:after="60"/>
      </w:pPr>
      <w:r>
        <w:rPr>
          <w:b/>
          <w:bCs/>
        </w:rPr>
        <w:t xml:space="preserve">Tiendas naturistas:</w:t>
      </w:r>
      <w:r>
        <w:t xml:space="preserve"> de 120 a 480 brownies al mes.</w:t>
      </w:r>
    </w:p>
    <w:p>
      <w:pPr>
        <w:pStyle w:val="ListParagraph"/>
        <w:numPr>
          <w:ilvl w:val="0"/>
          <w:numId w:val="4"/>
        </w:numPr>
        <w:spacing w:after="60"/>
      </w:pPr>
      <w:r>
        <w:rPr>
          <w:b/>
          <w:bCs/>
        </w:rPr>
        <w:t xml:space="preserve">WhatsApp, solo para recompra:</w:t>
      </w:r>
      <w:r>
        <w:t xml:space="preserve"> entregas 2 días por semana por zona, o recojo en el stand.</w:t>
      </w:r>
    </w:p>
    <w:p>
      <w:pPr>
        <w:pStyle w:val="ListParagraph"/>
        <w:numPr>
          <w:ilvl w:val="0"/>
          <w:numId w:val="4"/>
        </w:numPr>
        <w:spacing w:after="60"/>
      </w:pPr>
      <w:r>
        <w:rPr>
          <w:b/>
          <w:bCs/>
        </w:rPr>
        <w:t xml:space="preserve">Mamás embajadoras:</w:t>
      </w:r>
      <w:r>
        <w:t xml:space="preserve"> recomiendan en el chat del salón. El premio es para el padre, nunca para el niño.</w:t>
      </w:r>
    </w:p>
    <w:p>
      <w:pPr>
        <w:spacing w:after="120"/>
      </w:pPr>
      <w:r>
        <w:rPr>
          <w:b/>
          <w:bCs/>
        </w:rPr>
        <w:t xml:space="preserve">Brownies del año 1:</w:t>
      </w:r>
      <w:r>
        <w:t xml:space="preserve"> stands 22,625 (43 %), WhatsApp 9,421 (18 %), colegios 9,165 (17.5 %), ferias y eventos 7,400 (14 %) y naturistas 3,720 (7 %). Total: 52,331.</w:t>
      </w:r>
    </w:p>
    <w:p>
      <w:pPr>
        <w:pStyle w:val="Heading1"/>
      </w:pPr>
      <w:r>
        <w:t xml:space="preserve">8. Los números</w:t>
      </w:r>
    </w:p>
    <w:p>
      <w:pPr>
        <w:spacing w:after="120"/>
      </w:pPr>
      <w:r>
        <w:rPr>
          <w:b/>
          <w:bCs/>
        </w:rPr>
        <w:t xml:space="preserve">Inversión inicial: S/40,876.</w:t>
      </w:r>
    </w:p>
    <w:p>
      <w:pPr>
        <w:pStyle w:val="ListParagraph"/>
        <w:numPr>
          <w:ilvl w:val="0"/>
          <w:numId w:val="4"/>
        </w:numPr>
        <w:spacing w:after="60"/>
      </w:pPr>
      <w:r>
        <w:t xml:space="preserve">Documentos y permisos: S/6,176.</w:t>
      </w:r>
    </w:p>
    <w:p>
      <w:pPr>
        <w:pStyle w:val="ListParagraph"/>
        <w:numPr>
          <w:ilvl w:val="0"/>
          <w:numId w:val="4"/>
        </w:numPr>
        <w:spacing w:after="60"/>
      </w:pPr>
      <w:r>
        <w:t xml:space="preserve">Desarrollo del producto: S/3,741.</w:t>
      </w:r>
    </w:p>
    <w:p>
      <w:pPr>
        <w:pStyle w:val="ListParagraph"/>
        <w:numPr>
          <w:ilvl w:val="0"/>
          <w:numId w:val="4"/>
        </w:numPr>
        <w:spacing w:after="60"/>
      </w:pPr>
      <w:r>
        <w:t xml:space="preserve">Marca y app: S/3,250.</w:t>
      </w:r>
    </w:p>
    <w:p>
      <w:pPr>
        <w:pStyle w:val="ListParagraph"/>
        <w:numPr>
          <w:ilvl w:val="0"/>
          <w:numId w:val="4"/>
        </w:numPr>
        <w:spacing w:after="60"/>
      </w:pPr>
      <w:r>
        <w:t xml:space="preserve">Arranque: S/19,155, que incluye S/8,000 de capital de trabajo.</w:t>
      </w:r>
    </w:p>
    <w:p>
      <w:pPr>
        <w:pStyle w:val="ListParagraph"/>
        <w:numPr>
          <w:ilvl w:val="0"/>
          <w:numId w:val="4"/>
        </w:numPr>
        <w:spacing w:after="60"/>
      </w:pPr>
      <w:r>
        <w:t xml:space="preserve">Equipos y carrito: S/4,838.</w:t>
      </w:r>
    </w:p>
    <w:p>
      <w:pPr>
        <w:pStyle w:val="ListParagraph"/>
        <w:numPr>
          <w:ilvl w:val="0"/>
          <w:numId w:val="4"/>
        </w:numPr>
        <w:spacing w:after="60"/>
      </w:pPr>
      <w:r>
        <w:t xml:space="preserve">Imprevistos: S/3,716.</w:t>
      </w:r>
    </w:p>
    <w:p>
      <w:pPr>
        <w:spacing w:after="120"/>
      </w:pPr>
      <w:r>
        <w:rPr>
          <w:b/>
          <w:bCs/>
        </w:rPr>
        <w:t xml:space="preserve">Financiamiento:</w:t>
      </w:r>
      <w:r>
        <w:t xml:space="preserve"> los 5 socios ponen S/25,000 y hay un préstamo de S/16,000 en 24 cuotas de S/898. Su </w:t>
      </w:r>
      <w:r>
        <w:rPr>
          <w:b/>
          <w:bCs/>
        </w:rPr>
        <w:t xml:space="preserve">TEA</w:t>
      </w:r>
      <w:r>
        <w:t xml:space="preserve"> (tasa efectiva anual, el costo del préstamo en un año) es de 35 %. Hay además una línea de crédito de respaldo de S/3,000.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27"/>
        <w:gridCol w:w="3613"/>
      </w:tblGrid>
      <w:tr>
        <w:trPr>
          <w:tblHeader/>
        </w:trPr>
        <w:tc>
          <w:tcPr>
            <w:tcW w:type="dxa" w:w="3120"/>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tc>
        <w:tc>
          <w:tcPr>
            <w:tcW w:type="dxa" w:w="2627"/>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Año 1 (2027)</w:t>
            </w:r>
          </w:p>
        </w:tc>
        <w:tc>
          <w:tcPr>
            <w:tcW w:type="dxa" w:w="3613"/>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Año 2 (2028, 3 puntos)</w:t>
            </w:r>
          </w:p>
        </w:tc>
      </w:tr>
      <w:tr>
        <w:trPr>
          <w:tblHeader w:val="off"/>
        </w:trPr>
        <w:tc>
          <w:tcPr>
            <w:tcW w:type="dxa" w:w="312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Brownies</w:t>
            </w:r>
          </w:p>
        </w:tc>
        <w:tc>
          <w:tcPr>
            <w:tcW w:type="dxa" w:w="26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52,331</w:t>
            </w:r>
          </w:p>
        </w:tc>
        <w:tc>
          <w:tcPr>
            <w:tcW w:type="dxa" w:w="361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70,452</w:t>
            </w:r>
          </w:p>
        </w:tc>
      </w:tr>
      <w:tr>
        <w:trPr>
          <w:tblHeader w:val="off"/>
        </w:trPr>
        <w:tc>
          <w:tcPr>
            <w:tcW w:type="dxa" w:w="312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Ventas con IGV</w:t>
            </w:r>
          </w:p>
        </w:tc>
        <w:tc>
          <w:tcPr>
            <w:tcW w:type="dxa" w:w="2627"/>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S/244,728</w:t>
            </w:r>
          </w:p>
        </w:tc>
        <w:tc>
          <w:tcPr>
            <w:tcW w:type="dxa" w:w="361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S/322,329</w:t>
            </w:r>
          </w:p>
        </w:tc>
      </w:tr>
      <w:tr>
        <w:trPr>
          <w:tblHeader w:val="off"/>
        </w:trPr>
        <w:tc>
          <w:tcPr>
            <w:tcW w:type="dxa" w:w="312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Resultado operativo</w:t>
            </w:r>
          </w:p>
        </w:tc>
        <w:tc>
          <w:tcPr>
            <w:tcW w:type="dxa" w:w="26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S/13,423 (6.5 %)</w:t>
            </w:r>
          </w:p>
        </w:tc>
        <w:tc>
          <w:tcPr>
            <w:tcW w:type="dxa" w:w="361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S/30,459 (11.2 %)</w:t>
            </w:r>
          </w:p>
        </w:tc>
      </w:tr>
      <w:tr>
        <w:trPr>
          <w:tblHeader w:val="off"/>
        </w:trPr>
        <w:tc>
          <w:tcPr>
            <w:tcW w:type="dxa" w:w="312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Utilidad neta</w:t>
            </w:r>
          </w:p>
        </w:tc>
        <w:tc>
          <w:tcPr>
            <w:tcW w:type="dxa" w:w="2627"/>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S/10,379</w:t>
            </w:r>
          </w:p>
        </w:tc>
        <w:tc>
          <w:tcPr>
            <w:tcW w:type="dxa" w:w="361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S/28,447</w:t>
            </w:r>
          </w:p>
        </w:tc>
      </w:tr>
    </w:tbl>
    <w:p>
      <w:pPr>
        <w:spacing w:after="80"/>
      </w:pPr>
    </w:p>
    <w:p>
      <w:pPr>
        <w:spacing w:after="120"/>
      </w:pPr>
      <w:r>
        <w:t xml:space="preserve">El </w:t>
      </w:r>
      <w:r>
        <w:rPr>
          <w:b/>
          <w:bCs/>
        </w:rPr>
        <w:t xml:space="preserve">resultado operativo</w:t>
      </w:r>
      <w:r>
        <w:t xml:space="preserve"> es lo que queda después de producir, vender y pagar los gastos fijos. La </w:t>
      </w:r>
      <w:r>
        <w:rPr>
          <w:b/>
          <w:bCs/>
        </w:rPr>
        <w:t xml:space="preserve">utilidad neta</w:t>
      </w:r>
      <w:r>
        <w:t xml:space="preserve"> es lo que queda después de pagar también los intereses y el impuesto. Desde marzo de 2027 todos los meses ganan.</w:t>
      </w:r>
    </w:p>
    <w:p>
      <w:pPr>
        <w:spacing w:after="120"/>
      </w:pPr>
      <w:r>
        <w:rPr>
          <w:b/>
          <w:bCs/>
        </w:rPr>
        <w:t xml:space="preserve">Ganancia de un brownie (promedio del año 1):</w:t>
      </w:r>
      <w:r>
        <w:t xml:space="preserve"> cada brownie deja S/4.68 con IGV. De eso se van S/0.71 de IGV, S/2.10 de producir y vender, S/0.98 de stands, ferias y eventos, S/0.63 de gastos fijos y S/0.06 de intereses e impuesto. </w:t>
      </w:r>
      <w:r>
        <w:rPr>
          <w:b/>
          <w:bCs/>
        </w:rPr>
        <w:t xml:space="preserve">Quedan S/0.20</w:t>
      </w:r>
      <w:r>
        <w:t xml:space="preserve">, y en el año 2 quedan S/0.40.</w:t>
      </w:r>
    </w:p>
    <w:p>
      <w:pPr>
        <w:spacing w:after="120"/>
      </w:pPr>
      <w:r>
        <w:t xml:space="preserve">Producirlo cuesta S/1.64 en el pack de 6. El </w:t>
      </w:r>
      <w:r>
        <w:rPr>
          <w:b/>
          <w:bCs/>
        </w:rPr>
        <w:t xml:space="preserve">margen bruto</w:t>
      </w:r>
      <w:r>
        <w:t xml:space="preserve"> en el stand (lo que queda del precio sin IGV tras producir) va de 58 a 66 %.</w:t>
      </w:r>
    </w:p>
    <w:p>
      <w:pPr>
        <w:spacing w:after="120"/>
      </w:pPr>
      <w:r>
        <w:rPr>
          <w:b/>
          <w:bCs/>
        </w:rPr>
        <w:t xml:space="preserve">Punto de equilibrio</w:t>
      </w:r>
      <w:r>
        <w:t xml:space="preserve"> (lo que hay que vender en un mes para no perder): unos 2,100 brownies con 1 punto, de 3,100 a 3,500 con 2 y de 4,200 a 4,400 con 3. </w:t>
      </w:r>
      <w:r>
        <w:rPr>
          <w:b/>
          <w:bCs/>
        </w:rPr>
        <w:t xml:space="preserve">La inversión se recupera</w:t>
      </w:r>
      <w:r>
        <w:t xml:space="preserve"> en el mes 23 (noviembre de 2028).</w:t>
      </w:r>
    </w:p>
    <w:p>
      <w:pPr>
        <w:spacing w:after="120"/>
      </w:pPr>
      <w:r>
        <w:rPr>
          <w:b/>
          <w:bCs/>
        </w:rPr>
        <w:t xml:space="preserve">Riesgos:</w:t>
      </w:r>
      <w:r>
        <w:t xml:space="preserve"> la caja más baja es S/2,545, en febrero. Si los stands venden 20 % menos, la caja baja a −S/2,188 y la cubre la línea de crédito. Otros riesgos: que el laboratorio no confirme la ausencia de octógono o que el niño note la sangrecita.</w:t>
      </w:r>
    </w:p>
    <w:p>
      <w:pPr>
        <w:pStyle w:val="Heading1"/>
      </w:pPr>
      <w:r>
        <w:t xml:space="preserve">9. Plan de marketing en breve</w:t>
      </w:r>
    </w:p>
    <w:p>
      <w:pPr>
        <w:spacing w:after="120"/>
      </w:pPr>
      <w:r>
        <w:t xml:space="preserve">El plan completo está en </w:t>
      </w:r>
      <w:r>
        <w:rPr>
          <w:rFonts w:ascii="Consolas" w:cs="Consolas" w:eastAsia="Consolas" w:hAnsi="Consolas"/>
          <w:color w:val="4A2018"/>
          <w:sz w:val="19"/>
          <w:szCs w:val="19"/>
        </w:rPr>
        <w:t xml:space="preserve">10-plan-de-marketing-2027.md</w:t>
      </w:r>
      <w:r>
        <w:t xml:space="preserve"> y en las diapositivas 34 y 35 de la TC5-8. Va de octubre de 2026 a diciembre de 2027 y su mensaje central es "Hierro medido. Sabor a brownie.". Al padre A le hablamos del hierro medido de su lote; al padre B, de resolver la lonchera de la semana a S/4.16 por brownie (pack de 12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5"/>
        <w:gridCol w:w="1095"/>
        <w:gridCol w:w="3645"/>
        <w:gridCol w:w="1095"/>
        <w:gridCol w:w="2430"/>
      </w:tblGrid>
      <w:tr>
        <w:trPr>
          <w:tblHeader/>
        </w:trPr>
        <w:tc>
          <w:tcPr>
            <w:tcW w:type="dxa" w:w="109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Fase</w:t>
            </w:r>
          </w:p>
        </w:tc>
        <w:tc>
          <w:tcPr>
            <w:tcW w:type="dxa" w:w="109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Meses</w:t>
            </w:r>
          </w:p>
        </w:tc>
        <w:tc>
          <w:tcPr>
            <w:tcW w:type="dxa" w:w="364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Qué hacemos</w:t>
            </w:r>
          </w:p>
        </w:tc>
        <w:tc>
          <w:tcPr>
            <w:tcW w:type="dxa" w:w="1095"/>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Inversión</w:t>
            </w:r>
          </w:p>
        </w:tc>
        <w:tc>
          <w:tcPr>
            <w:tcW w:type="dxa" w:w="2430"/>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Meta</w:t>
            </w:r>
          </w:p>
        </w:tc>
      </w:tr>
      <w:tr>
        <w:trPr>
          <w:tblHeader w:val="off"/>
        </w:trPr>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Prelanzamiento</w:t>
            </w:r>
          </w:p>
        </w:tc>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Oct–dic 2026</w:t>
            </w:r>
          </w:p>
        </w:tc>
        <w:tc>
          <w:tcPr>
            <w:tcW w:type="dxa" w:w="364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Lista de espera, video, influencers y material de punto de venta</w:t>
            </w:r>
          </w:p>
        </w:tc>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S/1,758</w:t>
            </w:r>
          </w:p>
        </w:tc>
        <w:tc>
          <w:tcPr>
            <w:tcW w:type="dxa" w:w="243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100 contactos en espera</w:t>
            </w:r>
          </w:p>
        </w:tc>
      </w:tr>
      <w:tr>
        <w:trPr>
          <w:tblHeader w:val="off"/>
        </w:trPr>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Lanzamiento</w:t>
            </w:r>
          </w:p>
        </w:tc>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Ene–feb 2027</w:t>
            </w:r>
          </w:p>
        </w:tc>
        <w:tc>
          <w:tcPr>
            <w:tcW w:type="dxa" w:w="364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Abrir Jockey y el punto 2; feria de campaña escolar</w:t>
            </w:r>
          </w:p>
        </w:tc>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S/5,796</w:t>
            </w:r>
          </w:p>
        </w:tc>
        <w:tc>
          <w:tcPr>
            <w:tcW w:type="dxa" w:w="243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3,700 brownies; 50 contactos en la feria</w:t>
            </w:r>
          </w:p>
        </w:tc>
      </w:tr>
      <w:tr>
        <w:trPr>
          <w:tblHeader w:val="off"/>
        </w:trPr>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Crecer</w:t>
            </w:r>
          </w:p>
        </w:tc>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Mar–jul 2027</w:t>
            </w:r>
          </w:p>
        </w:tc>
        <w:tc>
          <w:tcPr>
            <w:tcW w:type="dxa" w:w="364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Quioscos, embajadoras, Día del Niño y fechas clave</w:t>
            </w:r>
          </w:p>
        </w:tc>
        <w:tc>
          <w:tcPr>
            <w:tcW w:type="dxa" w:w="1095"/>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S/9,770</w:t>
            </w:r>
          </w:p>
        </w:tc>
        <w:tc>
          <w:tcPr>
            <w:tcW w:type="dxa" w:w="243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20,320 brownies; 3 colegios</w:t>
            </w:r>
          </w:p>
        </w:tc>
      </w:tr>
      <w:tr>
        <w:trPr>
          <w:tblHeader w:val="off"/>
        </w:trPr>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Expandir</w:t>
            </w:r>
          </w:p>
        </w:tc>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Ago–dic 2027</w:t>
            </w:r>
          </w:p>
        </w:tc>
        <w:tc>
          <w:tcPr>
            <w:tcW w:type="dxa" w:w="364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Punto 3, 5 colegios y Navidad por pedido</w:t>
            </w:r>
          </w:p>
        </w:tc>
        <w:tc>
          <w:tcPr>
            <w:tcW w:type="dxa" w:w="1095"/>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S/7,220</w:t>
            </w:r>
          </w:p>
        </w:tc>
        <w:tc>
          <w:tcPr>
            <w:tcW w:type="dxa" w:w="243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28,311 brownies; unos 2,300 contactos</w:t>
            </w:r>
          </w:p>
        </w:tc>
      </w:tr>
    </w:tbl>
    <w:p>
      <w:pPr>
        <w:spacing w:after="80"/>
      </w:pPr>
    </w:p>
    <w:p>
      <w:pPr>
        <w:spacing w:after="120"/>
      </w:pPr>
      <w:r>
        <w:rPr>
          <w:b/>
          <w:bCs/>
        </w:rPr>
        <w:t xml:space="preserve">Total: S/24,544</w:t>
      </w:r>
      <w:r>
        <w:t xml:space="preserve"> (lanzamiento S/3,204; pauta y embajadoras S/10,800; ferias S/4,140; eventos S/6,400), unos S/0.44 de marketing por brownie en 2027. Objetivos del año: vender lo del Excel, recompra igual al 35 % de lo vendido en físico, 30 % de envases escaneados, 230 familias nuevas por embajadoras y 5 colegios con quiosco. Los stands van aparte, como costo de venta.</w:t>
      </w:r>
    </w:p>
    <w:p>
      <w:pPr>
        <w:pStyle w:val="Heading1"/>
      </w:pPr>
      <w:r>
        <w:t xml:space="preserve">10. Quién hace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7"/>
        <w:gridCol w:w="6933"/>
      </w:tblGrid>
      <w:tr>
        <w:trPr>
          <w:tblHeader/>
        </w:trPr>
        <w:tc>
          <w:tcPr>
            <w:tcW w:type="dxa" w:w="2427"/>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Socio (20 % cada uno)</w:t>
            </w:r>
          </w:p>
        </w:tc>
        <w:tc>
          <w:tcPr>
            <w:tcW w:type="dxa" w:w="6933"/>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Rol</w:t>
            </w:r>
          </w:p>
        </w:tc>
      </w:tr>
      <w:tr>
        <w:trPr>
          <w:tblHeader w:val="off"/>
        </w:trPr>
        <w:tc>
          <w:tcPr>
            <w:tcW w:type="dxa" w:w="24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Diana Ayoso</w:t>
            </w:r>
          </w:p>
        </w:tc>
        <w:tc>
          <w:tcPr>
            <w:tcW w:type="dxa" w:w="693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Producto, I+D (investigación y desarrollo) y prueba sensorial</w:t>
            </w:r>
          </w:p>
        </w:tc>
      </w:tr>
      <w:tr>
        <w:trPr>
          <w:tblHeader w:val="off"/>
        </w:trPr>
        <w:tc>
          <w:tcPr>
            <w:tcW w:type="dxa" w:w="2427"/>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Patricia Cárdenas</w:t>
            </w:r>
          </w:p>
        </w:tc>
        <w:tc>
          <w:tcPr>
            <w:tcW w:type="dxa" w:w="693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Operaciones: planta, compras, inventario y despacho</w:t>
            </w:r>
          </w:p>
        </w:tc>
      </w:tr>
      <w:tr>
        <w:trPr>
          <w:tblHeader w:val="off"/>
        </w:trPr>
        <w:tc>
          <w:tcPr>
            <w:tcW w:type="dxa" w:w="24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Adela Robles</w:t>
            </w:r>
          </w:p>
        </w:tc>
        <w:tc>
          <w:tcPr>
            <w:tcW w:type="dxa" w:w="693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Regulación, legal y contabilidad</w:t>
            </w:r>
          </w:p>
        </w:tc>
      </w:tr>
      <w:tr>
        <w:trPr>
          <w:tblHeader w:val="off"/>
        </w:trPr>
        <w:tc>
          <w:tcPr>
            <w:tcW w:type="dxa" w:w="2427"/>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Angie Blas</w:t>
            </w:r>
          </w:p>
        </w:tc>
        <w:tc>
          <w:tcPr>
            <w:tcW w:type="dxa" w:w="6933"/>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Marca, contenido y pauta</w:t>
            </w:r>
          </w:p>
        </w:tc>
      </w:tr>
      <w:tr>
        <w:trPr>
          <w:tblHeader w:val="off"/>
        </w:trPr>
        <w:tc>
          <w:tcPr>
            <w:tcW w:type="dxa" w:w="2427"/>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Carlos Inga</w:t>
            </w:r>
          </w:p>
        </w:tc>
        <w:tc>
          <w:tcPr>
            <w:tcW w:type="dxa" w:w="6933"/>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Comercial y finanzas: stands, ferias, colegios, naturistas y caja</w:t>
            </w:r>
          </w:p>
        </w:tc>
      </w:tr>
    </w:tbl>
    <w:p>
      <w:pPr>
        <w:spacing w:after="80"/>
      </w:pPr>
    </w:p>
    <w:p>
      <w:pPr>
        <w:spacing w:after="120"/>
      </w:pPr>
      <w:r>
        <w:t xml:space="preserve">Los socios no hacen trabajo operativo gratis. Hay vendedores pagados a S/90 por día y una coordinadora a medio tiempo (S/709 al mes). Al contratar se pide carné de sanidad.</w:t>
      </w:r>
    </w:p>
    <w:p>
      <w:pPr>
        <w:pStyle w:val="Heading1"/>
      </w:pPr>
      <w:r>
        <w:t xml:space="preserve">11. Reglas para crecer</w:t>
      </w:r>
    </w:p>
    <w:p>
      <w:pPr>
        <w:spacing w:after="120"/>
      </w:pPr>
      <w:r>
        <w:t xml:space="preserve">Cada paso se da solo cuando se cumple su meta:</w:t>
      </w:r>
    </w:p>
    <w:p>
      <w:pPr>
        <w:pStyle w:val="ListParagraph"/>
        <w:numPr>
          <w:ilvl w:val="0"/>
          <w:numId w:val="5"/>
        </w:numPr>
        <w:spacing w:after="60"/>
      </w:pPr>
      <w:r>
        <w:t xml:space="preserve">Abrimos un 4.º punto si los 3 puntos venden 85 o más brownies por día durante 3 meses.</w:t>
      </w:r>
    </w:p>
    <w:p>
      <w:pPr>
        <w:pStyle w:val="ListParagraph"/>
        <w:numPr>
          <w:ilvl w:val="0"/>
          <w:numId w:val="5"/>
        </w:numPr>
        <w:spacing w:after="60"/>
      </w:pPr>
      <w:r>
        <w:t xml:space="preserve">Negociamos la maquila a S/0.40 al pasar 5,000 brownies al mes.</w:t>
      </w:r>
    </w:p>
    <w:p>
      <w:pPr>
        <w:pStyle w:val="ListParagraph"/>
        <w:numPr>
          <w:ilvl w:val="0"/>
          <w:numId w:val="5"/>
        </w:numPr>
        <w:spacing w:after="60"/>
      </w:pPr>
      <w:r>
        <w:t xml:space="preserve">Firmamos un contrato anual de sangrecita, de unos 50 kg.</w:t>
      </w:r>
    </w:p>
    <w:p>
      <w:pPr>
        <w:pStyle w:val="ListParagraph"/>
        <w:numPr>
          <w:ilvl w:val="0"/>
          <w:numId w:val="5"/>
        </w:numPr>
        <w:spacing w:after="60"/>
      </w:pPr>
      <w:r>
        <w:t xml:space="preserve">Hacemos cajas para cumpleaños y empresas solo por pedido.</w:t>
      </w:r>
    </w:p>
    <w:p>
      <w:pPr>
        <w:pStyle w:val="ListParagraph"/>
        <w:numPr>
          <w:ilvl w:val="0"/>
          <w:numId w:val="5"/>
        </w:numPr>
        <w:spacing w:after="60"/>
      </w:pPr>
      <w:r>
        <w:t xml:space="preserve">Entramos a góndola en Wong o Vivanda en el año 2, solo si cada punto ya gana por sí solo.</w:t>
      </w:r>
    </w:p>
    <w:p>
      <w:pPr>
        <w:pStyle w:val="ListParagraph"/>
        <w:numPr>
          <w:ilvl w:val="0"/>
          <w:numId w:val="5"/>
        </w:numPr>
        <w:spacing w:after="60"/>
      </w:pPr>
      <w:r>
        <w:t xml:space="preserve">Pagamos a los vendedores S/60 por día más S/0.30 por brownie.</w:t>
      </w:r>
    </w:p>
    <w:p>
      <w:pPr>
        <w:pStyle w:val="ListParagraph"/>
        <w:numPr>
          <w:ilvl w:val="0"/>
          <w:numId w:val="5"/>
        </w:numPr>
        <w:spacing w:after="60"/>
      </w:pPr>
      <w:r>
        <w:t xml:space="preserve">Repetimos una feria solo si deja 50 contactos y cumple 3 de 4 criterios.</w:t>
      </w:r>
    </w:p>
    <w:p>
      <w:pPr>
        <w:pStyle w:val="ListParagraph"/>
        <w:numPr>
          <w:ilvl w:val="0"/>
          <w:numId w:val="5"/>
        </w:numPr>
        <w:spacing w:after="60"/>
      </w:pPr>
      <w:r>
        <w:t xml:space="preserve">Usamos la línea de crédito solo si la caja baja de S/1,000.</w:t>
      </w:r>
    </w:p>
    <w:p>
      <w:pPr>
        <w:pStyle w:val="Heading1"/>
      </w:pPr>
      <w:r>
        <w:t xml:space="preserve">12. Qué falta y próximos pasos</w:t>
      </w:r>
    </w:p>
    <w:p>
      <w:pPr>
        <w:pStyle w:val="ListParagraph"/>
        <w:numPr>
          <w:ilvl w:val="0"/>
          <w:numId w:val="6"/>
        </w:numPr>
        <w:spacing w:after="60"/>
      </w:pPr>
      <w:r>
        <w:t xml:space="preserve">Cargar los resultados del focus 2. Ya se hizo con degustación, pero faltan los resultados [POR CONFIRMAR].</w:t>
      </w:r>
    </w:p>
    <w:p>
      <w:pPr>
        <w:pStyle w:val="ListParagraph"/>
        <w:numPr>
          <w:ilvl w:val="0"/>
          <w:numId w:val="6"/>
        </w:numPr>
        <w:spacing w:after="60"/>
      </w:pPr>
      <w:r>
        <w:t xml:space="preserve">Cotizar stands y ferias. El plan usa S/600 por punto y S/1,800 por feria [POR CONFIRMAR].</w:t>
      </w:r>
    </w:p>
    <w:p>
      <w:pPr>
        <w:pStyle w:val="ListParagraph"/>
        <w:numPr>
          <w:ilvl w:val="0"/>
          <w:numId w:val="6"/>
        </w:numPr>
        <w:spacing w:after="60"/>
      </w:pPr>
      <w:r>
        <w:t xml:space="preserve">Confirmar con el laboratorio que no lleva octógono y cuánto hierro tiene.</w:t>
      </w:r>
    </w:p>
    <w:p>
      <w:pPr>
        <w:pStyle w:val="ListParagraph"/>
        <w:numPr>
          <w:ilvl w:val="0"/>
          <w:numId w:val="6"/>
        </w:numPr>
        <w:spacing w:after="60"/>
      </w:pPr>
      <w:r>
        <w:t xml:space="preserve">Probar la app con 10 familias.</w:t>
      </w:r>
    </w:p>
    <w:p>
      <w:pPr>
        <w:pStyle w:val="ListParagraph"/>
        <w:numPr>
          <w:ilvl w:val="0"/>
          <w:numId w:val="6"/>
        </w:numPr>
        <w:spacing w:after="60"/>
      </w:pPr>
      <w:r>
        <w:t xml:space="preserve">Actualizar la T1 y los documentos 01 a 09 al modelo v7.</w:t>
      </w:r>
    </w:p>
    <w:p>
      <w:pPr>
        <w:pStyle w:val="ListParagraph"/>
        <w:numPr>
          <w:ilvl w:val="0"/>
          <w:numId w:val="6"/>
        </w:numPr>
        <w:spacing w:after="60"/>
      </w:pPr>
      <w:r>
        <w:t xml:space="preserve">Firmar con la maquila y con el proveedor de sangrecita, y buscar la marca en INDECOPI.</w:t>
      </w:r>
    </w:p>
    <w:p>
      <w:pPr>
        <w:pStyle w:val="Heading1"/>
      </w:pPr>
      <w:r>
        <w:t xml:space="preserve">13. Mapa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0"/>
        <w:gridCol w:w="5790"/>
      </w:tblGrid>
      <w:tr>
        <w:trPr>
          <w:tblHeader/>
        </w:trPr>
        <w:tc>
          <w:tcPr>
            <w:tcW w:type="dxa" w:w="3570"/>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Dónde</w:t>
            </w:r>
          </w:p>
        </w:tc>
        <w:tc>
          <w:tcPr>
            <w:tcW w:type="dxa" w:w="5790"/>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Qué hay</w:t>
            </w:r>
          </w:p>
        </w:tc>
      </w:tr>
      <w:tr>
        <w:trPr>
          <w:tblHeader w:val="off"/>
        </w:trPr>
        <w:tc>
          <w:tcPr>
            <w:tcW w:type="dxa" w:w="35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rFonts w:ascii="Consolas" w:cs="Consolas" w:eastAsia="Consolas" w:hAnsi="Consolas"/>
                <w:color w:val="4A2018"/>
                <w:sz w:val="19"/>
                <w:szCs w:val="19"/>
              </w:rPr>
              <w:t xml:space="preserve">01-contexto/</w:t>
            </w:r>
          </w:p>
        </w:tc>
        <w:tc>
          <w:tcPr>
            <w:tcW w:type="dxa" w:w="579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Semanas 1 a 4, indicaciones de la profesora, entrevistas y focus 1</w:t>
            </w:r>
          </w:p>
        </w:tc>
      </w:tr>
      <w:tr>
        <w:trPr>
          <w:tblHeader w:val="off"/>
        </w:trPr>
        <w:tc>
          <w:tcPr>
            <w:tcW w:type="dxa" w:w="35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rFonts w:ascii="Consolas" w:cs="Consolas" w:eastAsia="Consolas" w:hAnsi="Consolas"/>
                <w:color w:val="4A2018"/>
                <w:sz w:val="19"/>
                <w:szCs w:val="19"/>
              </w:rPr>
              <w:t xml:space="preserve">02-plan-semanal/</w:t>
            </w:r>
            <w:r>
              <w:rPr>
                <w:sz w:val="19"/>
                <w:szCs w:val="19"/>
              </w:rPr>
              <w:t xml:space="preserve">, </w:t>
            </w:r>
            <w:r>
              <w:rPr>
                <w:rFonts w:ascii="Consolas" w:cs="Consolas" w:eastAsia="Consolas" w:hAnsi="Consolas"/>
                <w:color w:val="4A2018"/>
                <w:sz w:val="19"/>
                <w:szCs w:val="19"/>
              </w:rPr>
              <w:t xml:space="preserve">03-entregables/</w:t>
            </w:r>
          </w:p>
        </w:tc>
        <w:tc>
          <w:tcPr>
            <w:tcW w:type="dxa" w:w="579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Plan y borradores de la semana 5 (público anterior)</w:t>
            </w:r>
          </w:p>
        </w:tc>
      </w:tr>
      <w:tr>
        <w:trPr>
          <w:tblHeader w:val="off"/>
        </w:trPr>
        <w:tc>
          <w:tcPr>
            <w:tcW w:type="dxa" w:w="35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rFonts w:ascii="Consolas" w:cs="Consolas" w:eastAsia="Consolas" w:hAnsi="Consolas"/>
                <w:color w:val="4A2018"/>
                <w:sz w:val="19"/>
                <w:szCs w:val="19"/>
              </w:rPr>
              <w:t xml:space="preserve">04-reformulacion/</w:t>
            </w:r>
            <w:r>
              <w:rPr>
                <w:sz w:val="19"/>
                <w:szCs w:val="19"/>
              </w:rPr>
              <w:t xml:space="preserve"> 00 a 03</w:t>
            </w:r>
          </w:p>
        </w:tc>
        <w:tc>
          <w:tcPr>
            <w:tcW w:type="dxa" w:w="579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Brief, recetas, insumos y costeo, maquila y permisos</w:t>
            </w:r>
          </w:p>
        </w:tc>
      </w:tr>
      <w:tr>
        <w:trPr>
          <w:tblHeader w:val="off"/>
        </w:trPr>
        <w:tc>
          <w:tcPr>
            <w:tcW w:type="dxa" w:w="35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rFonts w:ascii="Consolas" w:cs="Consolas" w:eastAsia="Consolas" w:hAnsi="Consolas"/>
                <w:color w:val="4A2018"/>
                <w:sz w:val="19"/>
                <w:szCs w:val="19"/>
              </w:rPr>
              <w:t xml:space="preserve">04-reformulacion/</w:t>
            </w:r>
            <w:r>
              <w:rPr>
                <w:sz w:val="19"/>
                <w:szCs w:val="19"/>
              </w:rPr>
              <w:t xml:space="preserve"> 04 a 07</w:t>
            </w:r>
          </w:p>
        </w:tc>
        <w:tc>
          <w:tcPr>
            <w:tcW w:type="dxa" w:w="579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Público y mercado, plan comercial y financiero, marca, T1 (Canvas y pitch)</w:t>
            </w:r>
          </w:p>
        </w:tc>
      </w:tr>
      <w:tr>
        <w:trPr>
          <w:tblHeader w:val="off"/>
        </w:trPr>
        <w:tc>
          <w:tcPr>
            <w:tcW w:type="dxa" w:w="35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rFonts w:ascii="Consolas" w:cs="Consolas" w:eastAsia="Consolas" w:hAnsi="Consolas"/>
                <w:color w:val="4A2018"/>
                <w:sz w:val="19"/>
                <w:szCs w:val="19"/>
              </w:rPr>
              <w:t xml:space="preserve">04-reformulacion/</w:t>
            </w:r>
            <w:r>
              <w:rPr>
                <w:sz w:val="19"/>
                <w:szCs w:val="19"/>
              </w:rPr>
              <w:t xml:space="preserve"> 08 a 10</w:t>
            </w:r>
          </w:p>
        </w:tc>
        <w:tc>
          <w:tcPr>
            <w:tcW w:type="dxa" w:w="579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Venta física, app y plan de marketing</w:t>
            </w:r>
          </w:p>
        </w:tc>
      </w:tr>
      <w:tr>
        <w:trPr>
          <w:tblHeader w:val="off"/>
        </w:trPr>
        <w:tc>
          <w:tcPr>
            <w:tcW w:type="dxa" w:w="35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rFonts w:ascii="Consolas" w:cs="Consolas" w:eastAsia="Consolas" w:hAnsi="Consolas"/>
                <w:color w:val="4A2018"/>
                <w:sz w:val="19"/>
                <w:szCs w:val="19"/>
              </w:rPr>
              <w:t xml:space="preserve">Costeo-presentaciones-AndiBite.xlsx</w:t>
            </w:r>
          </w:p>
        </w:tc>
        <w:tc>
          <w:tcPr>
            <w:tcW w:type="dxa" w:w="579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b/>
                <w:bCs/>
                <w:sz w:val="19"/>
                <w:szCs w:val="19"/>
              </w:rPr>
              <w:t xml:space="preserve">Fuente de verdad de las cifras (v7)</w:t>
            </w:r>
          </w:p>
        </w:tc>
      </w:tr>
      <w:tr>
        <w:trPr>
          <w:tblHeader w:val="off"/>
        </w:trPr>
        <w:tc>
          <w:tcPr>
            <w:tcW w:type="dxa" w:w="35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rFonts w:ascii="Consolas" w:cs="Consolas" w:eastAsia="Consolas" w:hAnsi="Consolas"/>
                <w:color w:val="4A2018"/>
                <w:sz w:val="19"/>
                <w:szCs w:val="19"/>
              </w:rPr>
              <w:t xml:space="preserve">TC5-8/TC5-8-AndiBite.pptx</w:t>
            </w:r>
          </w:p>
        </w:tc>
        <w:tc>
          <w:tcPr>
            <w:tcW w:type="dxa" w:w="579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b/>
                <w:bCs/>
                <w:sz w:val="19"/>
                <w:szCs w:val="19"/>
              </w:rPr>
              <w:t xml:space="preserve">Trabajos de campo 5 a 8 con cifras v7</w:t>
            </w:r>
          </w:p>
        </w:tc>
      </w:tr>
      <w:tr>
        <w:trPr>
          <w:tblHeader w:val="off"/>
        </w:trPr>
        <w:tc>
          <w:tcPr>
            <w:tcW w:type="dxa" w:w="35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rFonts w:ascii="Consolas" w:cs="Consolas" w:eastAsia="Consolas" w:hAnsi="Consolas"/>
                <w:color w:val="4A2018"/>
                <w:sz w:val="19"/>
                <w:szCs w:val="19"/>
              </w:rPr>
              <w:t xml:space="preserve">T1-presentacion-AndiBite-2-0.pptx</w:t>
            </w:r>
          </w:p>
        </w:tc>
        <w:tc>
          <w:tcPr>
            <w:tcW w:type="dxa" w:w="579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Presentación T1 (por actualizar)</w:t>
            </w:r>
          </w:p>
        </w:tc>
      </w:tr>
      <w:tr>
        <w:trPr>
          <w:tblHeader w:val="off"/>
        </w:trPr>
        <w:tc>
          <w:tcPr>
            <w:tcW w:type="dxa" w:w="357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rFonts w:ascii="Consolas" w:cs="Consolas" w:eastAsia="Consolas" w:hAnsi="Consolas"/>
                <w:color w:val="4A2018"/>
                <w:sz w:val="19"/>
                <w:szCs w:val="19"/>
              </w:rPr>
              <w:t xml:space="preserve">app-andi-mision-hierro/</w:t>
            </w:r>
          </w:p>
        </w:tc>
        <w:tc>
          <w:tcPr>
            <w:tcW w:type="dxa" w:w="5790"/>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Código del prototipo de la app</w:t>
            </w:r>
          </w:p>
        </w:tc>
      </w:tr>
      <w:tr>
        <w:trPr>
          <w:tblHeader w:val="off"/>
        </w:trPr>
        <w:tc>
          <w:tcPr>
            <w:tcW w:type="dxa" w:w="357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rFonts w:ascii="Consolas" w:cs="Consolas" w:eastAsia="Consolas" w:hAnsi="Consolas"/>
                <w:color w:val="4A2018"/>
                <w:sz w:val="19"/>
                <w:szCs w:val="19"/>
              </w:rPr>
              <w:t xml:space="preserve">assets/</w:t>
            </w:r>
          </w:p>
        </w:tc>
        <w:tc>
          <w:tcPr>
            <w:tcW w:type="dxa" w:w="5790"/>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Empaque y fichas de Claudia y Rodrigo</w:t>
            </w:r>
          </w:p>
        </w:tc>
      </w:tr>
    </w:tbl>
    <w:p>
      <w:pPr>
        <w:spacing w:after="80"/>
      </w:pPr>
    </w:p>
    <w:p>
      <w:pPr>
        <w:pStyle w:val="Heading1"/>
      </w:pPr>
      <w:r>
        <w:t xml:space="preserve">14. Glosario corto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6766"/>
      </w:tblGrid>
      <w:tr>
        <w:trPr>
          <w:tblHeader/>
        </w:trPr>
        <w:tc>
          <w:tcPr>
            <w:tcW w:type="dxa" w:w="2594"/>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Término</w:t>
            </w:r>
          </w:p>
        </w:tc>
        <w:tc>
          <w:tcPr>
            <w:tcW w:type="dxa" w:w="6766"/>
            <w:tcBorders>
              <w:top w:val="single" w:color="D9C3A8" w:sz="4"/>
              <w:left w:val="single" w:color="D9C3A8" w:sz="4"/>
              <w:bottom w:val="single" w:color="D9C3A8" w:sz="4"/>
              <w:right w:val="single" w:color="D9C3A8" w:sz="4"/>
            </w:tcBorders>
            <w:shd w:fill="4A2018" w:color="auto" w:val="clear"/>
            <w:tcMar>
              <w:top w:type="dxa" w:w="60"/>
              <w:left w:type="dxa" w:w="100"/>
              <w:bottom w:type="dxa" w:w="60"/>
              <w:right w:type="dxa" w:w="100"/>
            </w:tcMar>
          </w:tcPr>
          <w:p>
            <w:r>
              <w:rPr>
                <w:b/>
                <w:bCs/>
                <w:color w:val="FFFFFF"/>
                <w:sz w:val="19"/>
                <w:szCs w:val="19"/>
              </w:rPr>
              <w:t xml:space="preserve">Qué significa</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NSE / APEIM</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Nivel socioeconómico (A es el más alto) / la asociación que lo mide</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Lima Top / Lima Moderna</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Zona 7 (Miraflores, San Isidro, San Borja, Surco, La Molina) / zona 6 (Jesús María, Lince, Pueblo Libre, Magdalena, San Miguel)</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Maquila</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Fabricar en la planta de otra empresa, que cobra por unidad</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Registro sanitario</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Permiso de DIGESA para vender un alimento envasado</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Octógono</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Sello de advertencia, como "Alto en azúcar"</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Hierro hemo</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Hierro de origen animal, el que mejor se absorbe</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PWA</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App web que se instala desde el navegador</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IGV</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Impuesto general a las ventas (18 %)</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Margen bruto</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Lo que queda del precio sin IGV después de producir</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Utilidad neta</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Ganancia final, después de intereses e impuestos</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Punto de equilibrio</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Lo mínimo que hay que vender en un mes para no perder</w:t>
            </w:r>
          </w:p>
        </w:tc>
      </w:tr>
      <w:tr>
        <w:trPr>
          <w:tblHeader w:val="off"/>
        </w:trPr>
        <w:tc>
          <w:tcPr>
            <w:tcW w:type="dxa" w:w="2594"/>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TEA</w:t>
            </w:r>
          </w:p>
        </w:tc>
        <w:tc>
          <w:tcPr>
            <w:tcW w:type="dxa" w:w="6766"/>
            <w:tcBorders>
              <w:top w:val="single" w:color="D9C3A8" w:sz="4"/>
              <w:left w:val="single" w:color="D9C3A8" w:sz="4"/>
              <w:bottom w:val="single" w:color="D9C3A8" w:sz="4"/>
              <w:right w:val="single" w:color="D9C3A8" w:sz="4"/>
            </w:tcBorders>
            <w:shd w:fill="F7ECDA" w:color="auto" w:val="clear"/>
            <w:tcMar>
              <w:top w:type="dxa" w:w="60"/>
              <w:left w:type="dxa" w:w="100"/>
              <w:bottom w:type="dxa" w:w="60"/>
              <w:right w:type="dxa" w:w="100"/>
            </w:tcMar>
          </w:tcPr>
          <w:p>
            <w:r>
              <w:rPr>
                <w:sz w:val="19"/>
                <w:szCs w:val="19"/>
              </w:rPr>
              <w:t xml:space="preserve">Tasa efectiva anual de un préstamo</w:t>
            </w:r>
          </w:p>
        </w:tc>
      </w:tr>
      <w:tr>
        <w:trPr>
          <w:tblHeader w:val="off"/>
        </w:trPr>
        <w:tc>
          <w:tcPr>
            <w:tcW w:type="dxa" w:w="2594"/>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S.A.C. / INDECOPI</w:t>
            </w:r>
          </w:p>
        </w:tc>
        <w:tc>
          <w:tcPr>
            <w:tcW w:type="dxa" w:w="6766"/>
            <w:tcBorders>
              <w:top w:val="single" w:color="D9C3A8" w:sz="4"/>
              <w:left w:val="single" w:color="D9C3A8" w:sz="4"/>
              <w:bottom w:val="single" w:color="D9C3A8" w:sz="4"/>
              <w:right w:val="single" w:color="D9C3A8" w:sz="4"/>
            </w:tcBorders>
            <w:shd w:fill="FFFFFF" w:color="auto" w:val="clear"/>
            <w:tcMar>
              <w:top w:type="dxa" w:w="60"/>
              <w:left w:type="dxa" w:w="100"/>
              <w:bottom w:type="dxa" w:w="60"/>
              <w:right w:type="dxa" w:w="100"/>
            </w:tcMar>
          </w:tcPr>
          <w:p>
            <w:r>
              <w:rPr>
                <w:sz w:val="19"/>
                <w:szCs w:val="19"/>
              </w:rPr>
              <w:t xml:space="preserve">Tipo de empresa / la entidad que registra marcas</w:t>
            </w:r>
          </w:p>
        </w:tc>
      </w:tr>
    </w:tbl>
    <w:p>
      <w:pPr>
        <w:spacing w:after="8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Resumen del proyecto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BA4036"/>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4A201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5494dd7405a15dfe62813893d4ec75a9c51f97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AndiBite: resumen del proyecto</dc:title>
  <dc:creator>Grupo 2</dc:creator>
  <cp:lastModifiedBy>Un-named</cp:lastModifiedBy>
  <cp:revision>1</cp:revision>
  <dcterms:created xsi:type="dcterms:W3CDTF">2026-10-10T21:09:18.540Z</dcterms:created>
  <dcterms:modified xsi:type="dcterms:W3CDTF">2026-10-10T21:09:18.540Z</dcterms:modified>
</cp:coreProperties>
</file>

<file path=docProps/custom.xml><?xml version="1.0" encoding="utf-8"?>
<Properties xmlns="http://schemas.openxmlformats.org/officeDocument/2006/custom-properties" xmlns:vt="http://schemas.openxmlformats.org/officeDocument/2006/docPropsVTypes"/>
</file>