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#01 Recap del Canvas T1</w:t>
      </w:r>
    </w:p>
    <w:p>
      <w:pPr>
        <w:pBdr>
          <w:bottom w:val="single" w:color="BA4036" w:sz="8" w:space="6"/>
        </w:pBdr>
        <w:spacing w:after="120"/>
      </w:pPr>
      <w:r>
        <w:rPr>
          <w:i/>
          <w:iCs/>
          <w:color w:val="6B3A2A"/>
          <w:sz w:val="20"/>
          <w:szCs w:val="20"/>
        </w:rPr>
        <w:t xml:space="preserve">Responsable: Diana Ayoso · Grupo 2 · AndiBite · Propuesta para revisar</w:t>
      </w:r>
    </w:p>
    <w:p>
      <w:pPr>
        <w:pStyle w:val="Heading1"/>
      </w:pPr>
      <w:r>
        <w:t xml:space="preserve">Para qué sirve este punto</w:t>
      </w:r>
    </w:p>
    <w:p>
      <w:pPr>
        <w:spacing w:after="120"/>
      </w:pPr>
      <w:r>
        <w:t xml:space="preserve">La clase pide partir del mapa (el Business Model Canvas del T1) para trazar la ruta (el plan de marketing). Aquí están los 9 bloques tal como quedaron en la diapositiva del Canvas de la TC5-8 (trabajos de campo 5 a 8), con las cifras del modelo v7. Todo lo que sigue en el T2 sale de esta página.</w:t>
      </w:r>
    </w:p>
    <w:p>
      <w:pPr>
        <w:spacing w:after="120"/>
      </w:pPr>
      <w:r>
        <w:rPr>
          <w:b/>
          <w:bCs/>
        </w:rPr>
        <w:t xml:space="preserve">Siglas.</w:t>
      </w:r>
      <w:r>
        <w:t xml:space="preserve"> IGV: impuesto general a las ventas (los precios al público lo incluyen). QR: código que se lee con la cámara del celular. OMS: Organización Mundial de la Salud. INS-CENAN: Instituto Nacional de Salud, Centro Nacional de Alimentación y Nutrición. ODS: Objetivos de Desarrollo Sostenible. TC5-8: trabajos de campo 5 a 8 del curso.</w:t>
      </w:r>
    </w:p>
    <w:p>
      <w:pPr>
        <w:pStyle w:val="Heading1"/>
      </w:pPr>
      <w:r>
        <w:t xml:space="preserve">Los 9 bloques en frases cortas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Bloque</w:t>
            </w:r>
          </w:p>
        </w:tc>
        <w:tc>
          <w:tcPr>
            <w:tcW w:type="dxa" w:w="668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Lo que dice el Canvas</w:t>
            </w:r>
          </w:p>
        </w:tc>
      </w:tr>
      <w:tr>
        <w:trPr>
          <w:tblHeader w:val="false"/>
        </w:trPr>
        <w:tc>
          <w:tcPr>
            <w:tcW w:type="dxa" w:w="26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 Segmentos de clientes</w:t>
            </w:r>
          </w:p>
        </w:tc>
        <w:tc>
          <w:tcPr>
            <w:tcW w:type="dxa" w:w="66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Padres y madres A y B de 32 a 45 años que leen etiquetas (7 de cada 10 hogares A/B son B). Hijos de 4 a 11 años en colegio privado. Núcleo: 46,000 hogares en Lima Top y Lima Moderna. También colegios y tiendas naturistas</w:t>
            </w:r>
          </w:p>
        </w:tc>
      </w:tr>
      <w:tr>
        <w:trPr>
          <w:tblHeader w:val="false"/>
        </w:trPr>
        <w:tc>
          <w:tcPr>
            <w:tcW w:type="dxa" w:w="267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2. Propuesta de valor</w:t>
            </w:r>
          </w:p>
        </w:tc>
        <w:tc>
          <w:tcPr>
            <w:tcW w:type="dxa" w:w="66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snack de lonchera con hierro que el niño sí se come. Hierro medido en cada lote, visible en la app. Sabor a brownie, sin octógono (meta que confirma el laboratorio). App para padres y juego para niños. Se prueba gratis antes de comprar. Frase: "Hierro medido. Sabor a brownie."</w:t>
            </w:r>
          </w:p>
        </w:tc>
      </w:tr>
      <w:tr>
        <w:trPr>
          <w:tblHeader w:val="false"/>
        </w:trPr>
        <w:tc>
          <w:tcPr>
            <w:tcW w:type="dxa" w:w="26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3. Canales</w:t>
            </w:r>
          </w:p>
        </w:tc>
        <w:tc>
          <w:tcPr>
            <w:tcW w:type="dxa" w:w="66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Stands y carrito: 43 % de los brownies. WhatsApp (solo recompra): 18 %. Ferias y eventos: 14 %. Colegios y naturistas: 25 %</w:t>
            </w:r>
          </w:p>
        </w:tc>
      </w:tr>
      <w:tr>
        <w:trPr>
          <w:tblHeader w:val="false"/>
        </w:trPr>
        <w:tc>
          <w:tcPr>
            <w:tcW w:type="dxa" w:w="267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4. Relación con clientes</w:t>
            </w:r>
          </w:p>
        </w:tc>
        <w:tc>
          <w:tcPr>
            <w:tcW w:type="dxa" w:w="66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Degustación cara a cara. La app avisa cuándo recomprar. Mamás embajadoras por salón</w:t>
            </w:r>
          </w:p>
        </w:tc>
      </w:tr>
      <w:tr>
        <w:trPr>
          <w:tblHeader w:val="false"/>
        </w:trPr>
        <w:tc>
          <w:tcPr>
            <w:tcW w:type="dxa" w:w="26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5. Fuentes de ingreso</w:t>
            </w:r>
          </w:p>
        </w:tc>
        <w:tc>
          <w:tcPr>
            <w:tcW w:type="dxa" w:w="66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Unidad S/6.00, caja de 3 S/16.50, pack de 6 S/27.90 (stand, con IGV). Año 1: S/244,728 de ventas y S/10,379 de utilidad neta. Año 2: S/322,329 y S/28,447</w:t>
            </w:r>
          </w:p>
        </w:tc>
      </w:tr>
      <w:tr>
        <w:trPr>
          <w:tblHeader w:val="false"/>
        </w:trPr>
        <w:tc>
          <w:tcPr>
            <w:tcW w:type="dxa" w:w="267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6. Recursos clave</w:t>
            </w:r>
          </w:p>
        </w:tc>
        <w:tc>
          <w:tcPr>
            <w:tcW w:type="dxa" w:w="66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Receta que esconde la sangrecita. Marca y registro sanitario. App y datos de cada familia. Equipo de venta pagado</w:t>
            </w:r>
          </w:p>
        </w:tc>
      </w:tr>
      <w:tr>
        <w:trPr>
          <w:tblHeader w:val="false"/>
        </w:trPr>
        <w:tc>
          <w:tcPr>
            <w:tcW w:type="dxa" w:w="26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7. Actividades clave</w:t>
            </w:r>
          </w:p>
        </w:tc>
        <w:tc>
          <w:tcPr>
            <w:tcW w:type="dxa" w:w="66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Fabricar sin planta propia (maquila). Medir y publicar el hierro. Vender en stands y ferias. Recompra con la app</w:t>
            </w:r>
          </w:p>
        </w:tc>
      </w:tr>
      <w:tr>
        <w:trPr>
          <w:tblHeader w:val="false"/>
        </w:trPr>
        <w:tc>
          <w:tcPr>
            <w:tcW w:type="dxa" w:w="267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8. Socios clave</w:t>
            </w:r>
          </w:p>
        </w:tc>
        <w:tc>
          <w:tcPr>
            <w:tcW w:type="dxa" w:w="66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Planta con certificación que fabrica por nosotros. Laboratorio que mide el hierro de cada lote. Proveedor de sangrecita en polvo con registro sanitario. Malls y supermercados para A y para B. Pediatras y nutricionista que nos recomiendan</w:t>
            </w:r>
          </w:p>
        </w:tc>
      </w:tr>
      <w:tr>
        <w:trPr>
          <w:tblHeader w:val="false"/>
        </w:trPr>
        <w:tc>
          <w:tcPr>
            <w:tcW w:type="dxa" w:w="26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9. Estructura de costos</w:t>
            </w:r>
          </w:p>
        </w:tc>
        <w:tc>
          <w:tcPr>
            <w:tcW w:type="dxa" w:w="66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Producir cuesta S/1.64 por brownie (pack de 6), sin comprar planta. Stands, ferias y vendedores: S/51,010 al año. Gastos fijos: S/2,738 al mes. Equilibrio: de 2,100 a 4,400 brownies al mes, según los puntos abiertos</w:t>
            </w:r>
          </w:p>
        </w:tc>
      </w:tr>
    </w:tbl>
    <w:p>
      <w:pPr>
        <w:spacing w:after="80"/>
      </w:pPr>
    </w:p>
    <w:p>
      <w:pPr>
        <w:spacing w:after="120"/>
      </w:pPr>
      <w:r>
        <w:rPr>
          <w:b/>
          <w:bCs/>
        </w:rPr>
        <w:t xml:space="preserve">Para el inversionista:</w:t>
      </w:r>
      <w:r>
        <w:t xml:space="preserve"> margen bruto de 58 a 66 % en el stand, sin planta propia, ganancia desde marzo de 2027, inversión recuperada en el mes 23 y utilidad 2.7 veces mayor en el año 2.</w:t>
      </w:r>
    </w:p>
    <w:p>
      <w:pPr>
        <w:pStyle w:val="Heading1"/>
      </w:pPr>
      <w:r>
        <w:t xml:space="preserve">El mercado en una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25"/>
        <w:gridCol w:w="1066"/>
        <w:gridCol w:w="1769"/>
      </w:tblGrid>
      <w:tr>
        <w:trPr>
          <w:tblHeader/>
        </w:trPr>
        <w:tc>
          <w:tcPr>
            <w:tcW w:type="dxa" w:w="652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Nivel</w:t>
            </w:r>
          </w:p>
        </w:tc>
        <w:tc>
          <w:tcPr>
            <w:tcW w:type="dxa" w:w="106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Hogares</w:t>
            </w:r>
          </w:p>
        </w:tc>
        <w:tc>
          <w:tcPr>
            <w:tcW w:type="dxa" w:w="176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Valor al año</w:t>
            </w:r>
          </w:p>
        </w:tc>
      </w:tr>
      <w:tr>
        <w:trPr>
          <w:tblHeader w:val="false"/>
        </w:trPr>
        <w:tc>
          <w:tcPr>
            <w:tcW w:type="dxa" w:w="65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Núcleo (A/B con niños de 4 a 11 en Lima Top y Lima Moderna)</w:t>
            </w:r>
          </w:p>
        </w:tc>
        <w:tc>
          <w:tcPr>
            <w:tcW w:type="dxa" w:w="10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46,000</w:t>
            </w:r>
          </w:p>
        </w:tc>
        <w:tc>
          <w:tcPr>
            <w:tcW w:type="dxa" w:w="176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S/17.3 millones</w:t>
            </w:r>
          </w:p>
        </w:tc>
      </w:tr>
      <w:tr>
        <w:trPr>
          <w:tblHeader w:val="false"/>
        </w:trPr>
        <w:tc>
          <w:tcPr>
            <w:tcW w:type="dxa" w:w="65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Mercado al que apuntamos (A/B de toda Lima)</w:t>
            </w:r>
          </w:p>
        </w:tc>
        <w:tc>
          <w:tcPr>
            <w:tcW w:type="dxa" w:w="10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168,000</w:t>
            </w:r>
          </w:p>
        </w:tc>
        <w:tc>
          <w:tcPr>
            <w:tcW w:type="dxa" w:w="176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S/62.8 millones</w:t>
            </w:r>
          </w:p>
        </w:tc>
      </w:tr>
      <w:tr>
        <w:trPr>
          <w:tblHeader w:val="false"/>
        </w:trPr>
        <w:tc>
          <w:tcPr>
            <w:tcW w:type="dxa" w:w="65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Mercado total (loncheras con snack envasado en Lima)</w:t>
            </w:r>
          </w:p>
        </w:tc>
        <w:tc>
          <w:tcPr>
            <w:tcW w:type="dxa" w:w="10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932,000</w:t>
            </w:r>
          </w:p>
        </w:tc>
        <w:tc>
          <w:tcPr>
            <w:tcW w:type="dxa" w:w="176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S/130.9 millones</w:t>
            </w:r>
          </w:p>
        </w:tc>
      </w:tr>
    </w:tbl>
    <w:p>
      <w:pPr>
        <w:spacing w:after="80"/>
      </w:pPr>
    </w:p>
    <w:p>
      <w:pPr>
        <w:spacing w:after="120"/>
      </w:pPr>
      <w:r>
        <w:t xml:space="preserve">Las ventas del año 1 equivalen al 1.4 % del valor del núcleo. Lima Top es la zona 7 de APEIM (Asociación Peruana de Empresas de Inteligencia de Mercados): Miraflores, San Isidro, San Borja, Surco y La Molina. Lima Moderna es la zona 6: Jesús María, Lince, Pueblo Libre, Magdalena y San Miguel.</w:t>
      </w:r>
    </w:p>
    <w:p>
      <w:pPr>
        <w:pStyle w:val="Heading1"/>
      </w:pPr>
      <w:r>
        <w:t xml:space="preserve">ODS: a qué contribuye AndiBite</w:t>
      </w:r>
    </w:p>
    <w:p>
      <w:pPr>
        <w:spacing w:after="120"/>
      </w:pPr>
      <w:r>
        <w:t xml:space="preserve">Los ODS son los Objetivos de Desarrollo Sostenible de las Naciones Unidas (ONU) para 2030.</w:t>
      </w:r>
    </w:p>
    <w:p>
      <w:pPr>
        <w:pStyle w:val="ListParagraph"/>
        <w:numPr>
          <w:ilvl w:val="0"/>
          <w:numId w:val="2"/>
        </w:numPr>
        <w:spacing w:after="60"/>
      </w:pPr>
      <w:r>
        <w:rPr>
          <w:b/>
          <w:bCs/>
        </w:rPr>
        <w:t xml:space="preserve">Principal: ODS 2 Hambre cero, meta 2.2.</w:t>
      </w:r>
      <w:r>
        <w:t xml:space="preserve"> La meta dice: "De aquí a 2030, poner fin a todas las formas de malnutrición". El hierro bajo es una forma de malnutrición. AndiBite contribuye con un snack que el niño sí come y que lleva hierro hemo (el de origen animal, que el cuerpo absorbe mejor), medido en cada lote.</w:t>
      </w:r>
    </w:p>
    <w:p>
      <w:pPr>
        <w:pStyle w:val="ListParagraph"/>
        <w:numPr>
          <w:ilvl w:val="1"/>
          <w:numId w:val="2"/>
        </w:numPr>
        <w:spacing w:after="60"/>
      </w:pPr>
      <w:r>
        <w:t xml:space="preserve">El indicador oficial de anemia de esta meta es el </w:t>
      </w:r>
      <w:r>
        <w:rPr>
          <w:b/>
          <w:bCs/>
        </w:rPr>
        <w:t xml:space="preserve">2.2.3</w:t>
      </w:r>
      <w:r>
        <w:t xml:space="preserve">, que mide la anemia en </w:t>
      </w:r>
      <w:r>
        <w:rPr>
          <w:b/>
          <w:bCs/>
        </w:rPr>
        <w:t xml:space="preserve">mujeres de 15 a 49 años</w:t>
      </w:r>
      <w:r>
        <w:t xml:space="preserve">. Para los niños usamos la ENDES (Encuesta Demográfica y de Salud Familiar del INEI): 24.0 % de anemia en niños de 6 a 35 meses de Lima Metropolitana (ENDES 2024, criterio OMS 2024) y 34.9 % en el Perú (ENDES 2025). En escolares de 5 a 11 años de Lima atendidos por el MINSA (Ministerio de Salud) es 22.5 % (INS-CENAN, 2024).</w:t>
      </w:r>
    </w:p>
    <w:p>
      <w:pPr>
        <w:pStyle w:val="ListParagraph"/>
        <w:numPr>
          <w:ilvl w:val="0"/>
          <w:numId w:val="2"/>
        </w:numPr>
        <w:spacing w:after="60"/>
      </w:pPr>
      <w:r>
        <w:rPr>
          <w:b/>
          <w:bCs/>
        </w:rPr>
        <w:t xml:space="preserve">Complemento: ODS 3 Salud y bienestar.</w:t>
      </w:r>
      <w:r>
        <w:t xml:space="preserve"> Menos azúcar (meta sin octógono: de 4.6 a 7.1 g de azúcar por 100 g con la receta reformulada, por confirmar en laboratorio), recordatorio del control de hemoglobina en la app y juegos educativos sobre alimentación en el modo niños.</w:t>
      </w:r>
    </w:p>
    <w:p>
      <w:pPr>
        <w:pStyle w:val="ListParagraph"/>
        <w:numPr>
          <w:ilvl w:val="0"/>
          <w:numId w:val="2"/>
        </w:numPr>
        <w:spacing w:after="60"/>
      </w:pPr>
      <w:r>
        <w:rPr>
          <w:b/>
          <w:bCs/>
        </w:rPr>
        <w:t xml:space="preserve">Complemento: ODS 8 Trabajo decente.</w:t>
      </w:r>
      <w:r>
        <w:t xml:space="preserve"> Empresa formal, con todo el personal pagado: vendedores a S/90 por día y coordinadora en planilla. Calza con la meta 8.3, que pide la formalización de las micro y pequeñas empresas.</w:t>
      </w:r>
    </w:p>
    <w:p>
      <w:pPr>
        <w:pStyle w:val="ListParagraph"/>
        <w:numPr>
          <w:ilvl w:val="0"/>
          <w:numId w:val="2"/>
        </w:numPr>
        <w:spacing w:after="60"/>
      </w:pPr>
      <w:r>
        <w:rPr>
          <w:b/>
          <w:bCs/>
        </w:rPr>
        <w:t xml:space="preserve">Cómo decirlo:</w:t>
      </w:r>
      <w:r>
        <w:t xml:space="preserve"> AndiBite "contribuye". Nunca "acaba con la anemia" ni "previene la anemia".</w:t>
      </w:r>
    </w:p>
    <w:p>
      <w:pPr>
        <w:pStyle w:val="Heading1"/>
      </w:pPr>
      <w:r>
        <w:t xml:space="preserve">Qué cambió desde el primer Canvas del T1</w:t>
      </w:r>
    </w:p>
    <w:p>
      <w:pPr>
        <w:spacing w:after="120"/>
      </w:pPr>
      <w:r>
        <w:t xml:space="preserve">El primer Canvas (15 de setiembre de 2026) era una hipótesis armada con datos de Lima Norte. Hoy el Canvas responde a lo que aprendimos en campo y a las indicaciones de la profesora:</w:t>
      </w:r>
    </w:p>
    <w:p>
      <w:pPr>
        <w:pStyle w:val="ListParagraph"/>
        <w:numPr>
          <w:ilvl w:val="0"/>
          <w:numId w:val="2"/>
        </w:numPr>
        <w:spacing w:after="60"/>
      </w:pPr>
      <w:r>
        <w:rPr>
          <w:b/>
          <w:bCs/>
        </w:rPr>
        <w:t xml:space="preserve">Público A y B, con esfuerzo parejo.</w:t>
      </w:r>
      <w:r>
        <w:t xml:space="preserve"> Las 10 entrevistas y el focus 1 fueron con mamás de Lima Norte (NSE C/B; NSE es nivel socioeconómico). Ahí el precio no alcanzaba: pagaban de S/3 a S/5 por porción. Pasamos a padres A y B, y como unos 7 de cada 10 hogares A/B son B, ahora hay dos buyer persona: Claudia Mendoza (A) y Rodrigo Salazar (B). Cada fase del plan tiene acciones para los dos y la pauta se reparte 50/50.</w:t>
      </w:r>
    </w:p>
    <w:p>
      <w:pPr>
        <w:pStyle w:val="ListParagraph"/>
        <w:numPr>
          <w:ilvl w:val="0"/>
          <w:numId w:val="2"/>
        </w:numPr>
        <w:spacing w:after="60"/>
      </w:pPr>
      <w:r>
        <w:rPr>
          <w:b/>
          <w:bCs/>
        </w:rPr>
        <w:t xml:space="preserve">Sangrecita en polvo.</w:t>
      </w:r>
      <w:r>
        <w:t xml:space="preserve"> Antes era sangrecita fresca de pollo cocida. Ahora es sangrecita de res en polvo liofilizada, comprada lista a S/300 por kg a un proveedor con registro sanitario. La planta de maquila solo la hidrata. Hay menos riesgo sanitario, menos olor y una dosis de hierro más estable.</w:t>
      </w:r>
    </w:p>
    <w:p>
      <w:pPr>
        <w:pStyle w:val="ListParagraph"/>
        <w:numPr>
          <w:ilvl w:val="0"/>
          <w:numId w:val="2"/>
        </w:numPr>
        <w:spacing w:after="60"/>
      </w:pPr>
      <w:r>
        <w:rPr>
          <w:b/>
          <w:bCs/>
        </w:rPr>
        <w:t xml:space="preserve">App "Andi, Misión Hierro".</w:t>
      </w:r>
      <w:r>
        <w:t xml:space="preserve"> Antes era solo un código QR por lote. Ahora es una app web que se abre con el QR de cada envase. Muestra el hierro medido del lote, arma loncheras, recuerda el control de hemoglobina y permite la recompra por WhatsApp. El modo niños tiene 4 juegos sin compras ni publicidad (Ley 30021).</w:t>
      </w:r>
    </w:p>
    <w:p>
      <w:pPr>
        <w:pStyle w:val="ListParagraph"/>
        <w:numPr>
          <w:ilvl w:val="0"/>
          <w:numId w:val="2"/>
        </w:numPr>
        <w:spacing w:after="60"/>
      </w:pPr>
      <w:r>
        <w:rPr>
          <w:b/>
          <w:bCs/>
        </w:rPr>
        <w:t xml:space="preserve">Venta física como canal principal.</w:t>
      </w:r>
      <w:r>
        <w:t xml:space="preserve"> Antes pesaban las ferias y el pedido por WhatsApp. Ahora el niño prueba en el stand y el padre compra ahí mismo: Jockey Plaza desde enero, Real Plaza Salaverry u Open Plaza Angamos desde febrero, y La Rambla San Borja o carrito en Wong o Vivanda desde agosto. Hay solo 2 ferias pagadas y 40 eventos sin costo. WhatsApp queda solo para la recompra.</w:t>
      </w:r>
    </w:p>
    <w:p>
      <w:pPr>
        <w:pStyle w:val="ListParagraph"/>
        <w:numPr>
          <w:ilvl w:val="0"/>
          <w:numId w:val="2"/>
        </w:numPr>
        <w:spacing w:after="60"/>
      </w:pPr>
      <w:r>
        <w:rPr>
          <w:b/>
          <w:bCs/>
        </w:rPr>
        <w:t xml:space="preserve">Lo que se mantiene:</w:t>
      </w:r>
      <w:r>
        <w:t xml:space="preserve"> el nombre AndiBite, el mini brownie de 20 g, los 3 sabores (Chispa, Andi y Lúcu) y la regla de no decir "previene la anemia".</w:t>
      </w:r>
    </w:p>
    <w:p>
      <w:pPr>
        <w:pStyle w:val="Heading1"/>
      </w:pPr>
      <w:r>
        <w:t xml:space="preserve">Fuentes</w:t>
      </w:r>
    </w:p>
    <w:p>
      <w:pPr>
        <w:pStyle w:val="ListParagraph"/>
        <w:numPr>
          <w:ilvl w:val="0"/>
          <w:numId w:val="2"/>
        </w:numPr>
        <w:spacing w:after="60"/>
      </w:pPr>
      <w:r>
        <w:t xml:space="preserve">Diapositiva 22 "Canvas" de la TC5-8: 04-reformulacion/TC5-8/fuente/build.js y TC5-8-AndiBite.pptx.</w:t>
      </w:r>
    </w:p>
    <w:p>
      <w:pPr>
        <w:pStyle w:val="ListParagraph"/>
        <w:numPr>
          <w:ilvl w:val="0"/>
          <w:numId w:val="2"/>
        </w:numPr>
        <w:spacing w:after="60"/>
      </w:pPr>
      <w:r>
        <w:t xml:space="preserve">Cifras vigentes: 04-reformulacion/T2/HECHOS_v7.md (modelo v7, 19-oct-2026) y Costeo-presentaciones-AndiBite.xlsx.</w:t>
      </w:r>
    </w:p>
    <w:p>
      <w:pPr>
        <w:pStyle w:val="ListParagraph"/>
        <w:numPr>
          <w:ilvl w:val="0"/>
          <w:numId w:val="2"/>
        </w:numPr>
        <w:spacing w:after="60"/>
      </w:pPr>
      <w:r>
        <w:t xml:space="preserve">Canvas anterior y tabla de cambios: 03-entregables/02-business-model-canvas.md y 04-reformulacion/07-T1-canvas-propuesta-de-valor-validacion-y-pitch.md, sección 1.3.</w:t>
      </w:r>
    </w:p>
    <w:p>
      <w:pPr>
        <w:pStyle w:val="ListParagraph"/>
        <w:numPr>
          <w:ilvl w:val="0"/>
          <w:numId w:val="2"/>
        </w:numPr>
        <w:spacing w:after="60"/>
      </w:pPr>
      <w:r>
        <w:t xml:space="preserve">ONU. Objetivo 2: Hambre cero, meta 2.2. https://www.un.org/sustainabledevelopment/es/hunger/ (consulta del 19-oct-2026).</w:t>
      </w:r>
    </w:p>
    <w:p>
      <w:pPr>
        <w:pStyle w:val="ListParagraph"/>
        <w:numPr>
          <w:ilvl w:val="0"/>
          <w:numId w:val="2"/>
        </w:numPr>
        <w:spacing w:after="60"/>
      </w:pPr>
      <w:r>
        <w:t xml:space="preserve">Banco Mundial, metadatos ODS. Indicador 2.2.3: prevalencia de la anemia en las mujeres de 15 a 49 años. https://worldbank.github.io/sdg-metadata/metadata/es/2-2-3 (consulta del 19-oct-2026).</w:t>
      </w:r>
    </w:p>
    <w:p>
      <w:pPr>
        <w:pStyle w:val="ListParagraph"/>
        <w:numPr>
          <w:ilvl w:val="0"/>
          <w:numId w:val="2"/>
        </w:numPr>
        <w:spacing w:after="60"/>
      </w:pPr>
      <w:r>
        <w:t xml:space="preserve">ONU. Objetivo 3: Salud y bienestar. https://www.un.org/sustainabledevelopment/es/health/</w:t>
      </w:r>
    </w:p>
    <w:p>
      <w:pPr>
        <w:pStyle w:val="ListParagraph"/>
        <w:numPr>
          <w:ilvl w:val="0"/>
          <w:numId w:val="2"/>
        </w:numPr>
        <w:spacing w:after="60"/>
      </w:pPr>
      <w:r>
        <w:t xml:space="preserve">ONU. Objetivo 8: Trabajo decente y crecimiento económico, meta 8.3. https://www.un.org/sustainabledevelopment/es/economic-growth/</w:t>
      </w:r>
    </w:p>
    <w:p>
      <w:pPr>
        <w:pStyle w:val="ListParagraph"/>
        <w:numPr>
          <w:ilvl w:val="0"/>
          <w:numId w:val="2"/>
        </w:numPr>
        <w:spacing w:after="60"/>
      </w:pPr>
      <w:r>
        <w:t xml:space="preserve">MCLCP Lima Metropolitana. Acta 03-2025, resultados ENDES 2024 de Lima (agosto de 2025). https://intranet.mesadeconcertacion.org.pe/storage/documentos/2025-08-18/acta-03-mclcp-lm-0625.pdf</w:t>
      </w:r>
    </w:p>
    <w:p>
      <w:pPr>
        <w:pStyle w:val="ListParagraph"/>
        <w:numPr>
          <w:ilvl w:val="0"/>
          <w:numId w:val="2"/>
        </w:numPr>
        <w:spacing w:after="60"/>
      </w:pPr>
      <w:r>
        <w:t xml:space="preserve">INS-CENAN. Estado nutricional de niños peruanos de 5 a 11 años, SIEN-HIS 2024. https://cdn.www.gob.pe/uploads/document/file/8148018/6822458-estado-nutricional-de-ninos-peruanos-de-5-a-11-anos-sien-his-2024.pdf</w:t>
      </w:r>
    </w:p>
    <w:p>
      <w:pPr>
        <w:pStyle w:val="ListParagraph"/>
        <w:numPr>
          <w:ilvl w:val="0"/>
          <w:numId w:val="2"/>
        </w:numPr>
        <w:spacing w:after="60"/>
      </w:pPr>
      <w:r>
        <w:t xml:space="preserve">APEIM. Niveles Socioeconómicos 2025 (setiembre de 2025). https://apeim.com.pe/wp-content/uploads/2025/12/Informe-completo-de-NSE-2025.pdf</w:t>
      </w:r>
    </w:p>
    <w:p>
      <w:pPr>
        <w:pStyle w:val="ListParagraph"/>
        <w:numPr>
          <w:ilvl w:val="0"/>
          <w:numId w:val="2"/>
        </w:numPr>
        <w:spacing w:after="60"/>
      </w:pPr>
      <w:r>
        <w:t xml:space="preserve">Congreso de la República. Ley 30021, de promoción de la alimentación saludable. https://www.leyes.congreso.gob.pe/Documentos/Leyes/30021.pdf</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3c9826b2d7f4f869c9577bdc91c7b2dc49bf7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#01 Recap del Canvas T1</dc:title>
  <dc:creator>Grupo 2</dc:creator>
  <cp:lastModifiedBy>Un-named</cp:lastModifiedBy>
  <cp:revision>1</cp:revision>
  <dcterms:created xsi:type="dcterms:W3CDTF">2026-10-19T01:18:20.727Z</dcterms:created>
  <dcterms:modified xsi:type="dcterms:W3CDTF">2026-10-19T01:18:20.727Z</dcterms:modified>
</cp:coreProperties>
</file>

<file path=docProps/custom.xml><?xml version="1.0" encoding="utf-8"?>
<Properties xmlns="http://schemas.openxmlformats.org/officeDocument/2006/custom-properties" xmlns:vt="http://schemas.openxmlformats.org/officeDocument/2006/docPropsVTypes"/>
</file>