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pPr>
      <w:r>
        <w:drawing>
          <wp:inline distT="0" distB="0" distL="0" distR="0">
            <wp:extent cx="1428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85775"/>
                    </a:xfrm>
                    <a:prstGeom prst="rect">
                      <a:avLst/>
                    </a:prstGeom>
                  </pic:spPr>
                </pic:pic>
              </a:graphicData>
            </a:graphic>
          </wp:inline>
        </w:drawing>
      </w:r>
    </w:p>
    <w:p>
      <w:pPr>
        <w:pStyle w:val="Title"/>
        <w:spacing w:after="80"/>
      </w:pPr>
      <w:r>
        <w:rPr>
          <w:rFonts w:ascii="Calibri" w:cs="Calibri" w:eastAsia="Calibri" w:hAnsi="Calibri"/>
          <w:b/>
          <w:bCs/>
          <w:color w:val="4A2018"/>
          <w:sz w:val="40"/>
          <w:szCs w:val="40"/>
        </w:rPr>
        <w:t xml:space="preserve">T2 · #17 Presupuesto: inversión por canal, CPA, ROAS y ROI</w:t>
      </w:r>
    </w:p>
    <w:p>
      <w:pPr>
        <w:pBdr>
          <w:bottom w:val="single" w:color="BA4036" w:sz="8" w:space="6"/>
        </w:pBdr>
        <w:spacing w:after="120"/>
      </w:pPr>
      <w:r>
        <w:rPr>
          <w:i/>
          <w:iCs/>
          <w:color w:val="6B3A2A"/>
          <w:sz w:val="20"/>
          <w:szCs w:val="20"/>
        </w:rPr>
        <w:t xml:space="preserve">Responsable: Angie Blas · Grupo 2 · AndiBite · Propuesta para revisar</w:t>
      </w:r>
    </w:p>
    <w:p>
      <w:pPr>
        <w:spacing w:after="120"/>
      </w:pPr>
      <w:r>
        <w:rPr>
          <w:b/>
          <w:bCs/>
        </w:rPr>
        <w:t xml:space="preserve">Qué contiene.</w:t>
      </w:r>
      <w:r>
        <w:t xml:space="preserve"> (1) La inversión de marketing por canal y por medio, que cuadra con </w:t>
      </w:r>
      <w:r>
        <w:rPr>
          <w:b/>
          <w:bCs/>
        </w:rPr>
        <w:t xml:space="preserve">S/24,544</w:t>
      </w:r>
      <w:r>
        <w:t xml:space="preserve"> y con </w:t>
      </w:r>
      <w:r>
        <w:rPr>
          <w:rFonts w:ascii="Consolas" w:cs="Consolas" w:eastAsia="Consolas" w:hAnsi="Consolas"/>
          <w:color w:val="4A2018"/>
          <w:sz w:val="19"/>
          <w:szCs w:val="19"/>
        </w:rPr>
        <w:t xml:space="preserve">Presupuesto-marketing-AndiBite.xlsx</w:t>
      </w:r>
      <w:r>
        <w:t xml:space="preserve">. (2) El prompt 4 de la clase (Sesión 09) completado, con CPA, ROAS y una tabla Métrica estimada | Valor calculado | Interpretación. (3) El ROI del marketing, con sus fórmulas.</w:t>
      </w:r>
    </w:p>
    <w:p>
      <w:pPr>
        <w:spacing w:after="120"/>
      </w:pPr>
      <w:r>
        <w:rPr>
          <w:b/>
          <w:bCs/>
        </w:rPr>
        <w:t xml:space="preserve">Siglas.</w:t>
      </w:r>
      <w:r>
        <w:t xml:space="preserve"> CPM: costo por mil impresiones del anuncio. CPC: costo por clic. CTR: porcentaje de personas que hacen clic al ver el anuncio. CPA: costo por adquisición (lo que cuesta conseguir un contacto o un cliente). ROAS: retorno de la inversión publicitaria (ventas ÷ gasto). ROI: retorno de la inversión ((ganancia − inversión) ÷ inversión). BTL: marketing cara a cara. Pauta: publicidad pagada en Meta (Facebook e Instagram). IGV: impuesto general a las ventas (18 %). POP: material de punto de venta (carteles, habladores, banners). ATL: marketing en medios masivos (televisión, radio, vía pública). NSE: nivel socioeconómico. ODS: Objetivos de Desarrollo Sostenible. TC5-8: trabajos de campo 5 a 8 del curso. BCRP: Banco Central de Reserva del Perú. IA: inteligencia artificial.</w:t>
      </w:r>
    </w:p>
    <w:p>
      <w:pPr>
        <w:spacing w:after="120"/>
      </w:pPr>
      <w:r>
        <w:rPr>
          <w:b/>
          <w:bCs/>
        </w:rPr>
        <w:t xml:space="preserve">Qué es dato y qué es estimado.</w:t>
      </w:r>
      <w:r>
        <w:t xml:space="preserve"> Las cifras de inversión, ventas y contribución salen del Excel v7 y del presupuesto de marketing: son el plan, no resultados reales (todavía no hemos vendido). Los benchmarks de Meta son de fuentes externas con fecha. Todo lo que dice [ESTIMADO] o [POR CONFIRMAR] se corrige con los datos reales de Ads Manager y de las ventas de enero y febrero de 2027.</w:t>
      </w:r>
    </w:p>
    <w:p>
      <w:pPr>
        <w:pBdr>
          <w:bottom w:val="single" w:color="BA4036" w:sz="6" w:space="1"/>
        </w:pBdr>
        <w:spacing w:after="160"/>
      </w:pPr>
    </w:p>
    <w:p>
      <w:pPr>
        <w:pStyle w:val="Heading1"/>
      </w:pPr>
      <w:r>
        <w:t xml:space="preserve">1. Inversión por canal y por medio</w:t>
      </w:r>
    </w:p>
    <w:p>
      <w:pPr>
        <w:pStyle w:val="Heading2"/>
      </w:pPr>
      <w:r>
        <w:t xml:space="preserve">1.1 Por tipo de medio (formato de mezcla de promoción)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6"/>
        <w:gridCol w:w="988"/>
        <w:gridCol w:w="988"/>
        <w:gridCol w:w="5608"/>
      </w:tblGrid>
      <w:tr>
        <w:trPr>
          <w:tblHeader/>
        </w:trPr>
        <w:tc>
          <w:tcPr>
            <w:tcW w:type="dxa" w:w="177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Tipo de medio</w:t>
            </w:r>
          </w:p>
        </w:tc>
        <w:tc>
          <w:tcPr>
            <w:tcW w:type="dxa" w:w="98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w:t>
            </w:r>
          </w:p>
        </w:tc>
        <w:tc>
          <w:tcPr>
            <w:tcW w:type="dxa" w:w="98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w:t>
            </w:r>
          </w:p>
        </w:tc>
        <w:tc>
          <w:tcPr>
            <w:tcW w:type="dxa" w:w="560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incluye</w:t>
            </w:r>
          </w:p>
        </w:tc>
      </w:tr>
      <w:tr>
        <w:trPr>
          <w:tblHeader w:val="false"/>
        </w:trPr>
        <w:tc>
          <w:tcPr>
            <w:tcW w:type="dxa" w:w="17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Publicidad</w:t>
            </w:r>
          </w:p>
        </w:tc>
        <w:tc>
          <w:tcPr>
            <w:tcW w:type="dxa" w:w="98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5,950</w:t>
            </w:r>
          </w:p>
        </w:tc>
        <w:tc>
          <w:tcPr>
            <w:tcW w:type="dxa" w:w="98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24 %</w:t>
            </w:r>
          </w:p>
        </w:tc>
        <w:tc>
          <w:tcPr>
            <w:tcW w:type="dxa" w:w="560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Pauta en Meta (5,050), pauta de expectativa (600) y video de lanzamiento (300)</w:t>
            </w:r>
          </w:p>
        </w:tc>
      </w:tr>
      <w:tr>
        <w:trPr>
          <w:tblHeader w:val="false"/>
        </w:trPr>
        <w:tc>
          <w:tcPr>
            <w:tcW w:type="dxa" w:w="177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Ventas personales</w:t>
            </w:r>
          </w:p>
        </w:tc>
        <w:tc>
          <w:tcPr>
            <w:tcW w:type="dxa" w:w="98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4,140</w:t>
            </w:r>
          </w:p>
        </w:tc>
        <w:tc>
          <w:tcPr>
            <w:tcW w:type="dxa" w:w="98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17 %</w:t>
            </w:r>
          </w:p>
        </w:tc>
        <w:tc>
          <w:tcPr>
            <w:tcW w:type="dxa" w:w="560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Vendedor(a) en 2 ferias pagadas (540) y en 40 eventos sin costo (3,600)</w:t>
            </w:r>
          </w:p>
        </w:tc>
      </w:tr>
      <w:tr>
        <w:trPr>
          <w:tblHeader w:val="false"/>
        </w:trPr>
        <w:tc>
          <w:tcPr>
            <w:tcW w:type="dxa" w:w="17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Promociones</w:t>
            </w:r>
          </w:p>
        </w:tc>
        <w:tc>
          <w:tcPr>
            <w:tcW w:type="dxa" w:w="98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7,596</w:t>
            </w:r>
          </w:p>
        </w:tc>
        <w:tc>
          <w:tcPr>
            <w:tcW w:type="dxa" w:w="98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31 %</w:t>
            </w:r>
          </w:p>
        </w:tc>
        <w:tc>
          <w:tcPr>
            <w:tcW w:type="dxa" w:w="560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600 muestras (1,146), degustaciones extra (1,750), material y POP (2,300), embajadoras (2,400)</w:t>
            </w:r>
          </w:p>
        </w:tc>
      </w:tr>
      <w:tr>
        <w:trPr>
          <w:tblHeader w:val="false"/>
        </w:trPr>
        <w:tc>
          <w:tcPr>
            <w:tcW w:type="dxa" w:w="177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Relaciones públicas</w:t>
            </w:r>
          </w:p>
        </w:tc>
        <w:tc>
          <w:tcPr>
            <w:tcW w:type="dxa" w:w="98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6,858</w:t>
            </w:r>
          </w:p>
        </w:tc>
        <w:tc>
          <w:tcPr>
            <w:tcW w:type="dxa" w:w="98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28 %</w:t>
            </w:r>
          </w:p>
        </w:tc>
        <w:tc>
          <w:tcPr>
            <w:tcW w:type="dxa" w:w="560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40 packs para influencers (458), stand de 2 ferias pagadas (3,600) y aporte a 40 eventos (2,800)</w:t>
            </w:r>
          </w:p>
        </w:tc>
      </w:tr>
      <w:tr>
        <w:trPr>
          <w:tblHeader w:val="false"/>
        </w:trPr>
        <w:tc>
          <w:tcPr>
            <w:tcW w:type="dxa" w:w="17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Total</w:t>
            </w:r>
          </w:p>
        </w:tc>
        <w:tc>
          <w:tcPr>
            <w:tcW w:type="dxa" w:w="98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24,544</w:t>
            </w:r>
          </w:p>
        </w:tc>
        <w:tc>
          <w:tcPr>
            <w:tcW w:type="dxa" w:w="98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100 %</w:t>
            </w:r>
          </w:p>
        </w:tc>
        <w:tc>
          <w:tcPr>
            <w:tcW w:type="dxa" w:w="560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r>
    </w:tbl>
    <w:p>
      <w:pPr>
        <w:spacing w:after="80"/>
      </w:pPr>
    </w:p>
    <w:p>
      <w:pPr>
        <w:spacing w:after="120"/>
      </w:pPr>
      <w:r>
        <w:t xml:space="preserve">Comprobación: 5,950 + 4,140 + 7,596 + 6,858 = 24,544. Es la misma tabla de la hoja "Presupuesto de marketing" del Excel (fórmulas) y de las diapositivas 35 y 36 de la TC5-8.</w:t>
      </w:r>
    </w:p>
    <w:p>
      <w:pPr>
        <w:pStyle w:val="Heading2"/>
      </w:pPr>
      <w:r>
        <w:t xml:space="preserve">1.2 Por canal: BTL y digital, sin ATL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1"/>
        <w:gridCol w:w="972"/>
        <w:gridCol w:w="972"/>
        <w:gridCol w:w="4635"/>
      </w:tblGrid>
      <w:tr>
        <w:trPr>
          <w:tblHeader/>
        </w:trPr>
        <w:tc>
          <w:tcPr>
            <w:tcW w:type="dxa" w:w="278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Canal</w:t>
            </w:r>
          </w:p>
        </w:tc>
        <w:tc>
          <w:tcPr>
            <w:tcW w:type="dxa" w:w="97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w:t>
            </w:r>
          </w:p>
        </w:tc>
        <w:tc>
          <w:tcPr>
            <w:tcW w:type="dxa" w:w="97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w:t>
            </w:r>
          </w:p>
        </w:tc>
        <w:tc>
          <w:tcPr>
            <w:tcW w:type="dxa" w:w="463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Líneas</w:t>
            </w:r>
          </w:p>
        </w:tc>
      </w:tr>
      <w:tr>
        <w:trPr>
          <w:tblHeader w:val="false"/>
        </w:trPr>
        <w:tc>
          <w:tcPr>
            <w:tcW w:type="dxa" w:w="278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Digital</w:t>
            </w:r>
          </w:p>
        </w:tc>
        <w:tc>
          <w:tcPr>
            <w:tcW w:type="dxa" w:w="97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6,408</w:t>
            </w:r>
          </w:p>
        </w:tc>
        <w:tc>
          <w:tcPr>
            <w:tcW w:type="dxa" w:w="97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26 %</w:t>
            </w:r>
          </w:p>
        </w:tc>
        <w:tc>
          <w:tcPr>
            <w:tcW w:type="dxa" w:w="463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Pauta en Meta 5,050 + expectativa 600 + video 300 + influencers 458</w:t>
            </w:r>
          </w:p>
        </w:tc>
      </w:tr>
      <w:tr>
        <w:trPr>
          <w:tblHeader w:val="false"/>
        </w:trPr>
        <w:tc>
          <w:tcPr>
            <w:tcW w:type="dxa" w:w="278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BTL</w:t>
            </w:r>
          </w:p>
        </w:tc>
        <w:tc>
          <w:tcPr>
            <w:tcW w:type="dxa" w:w="97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18,136</w:t>
            </w:r>
          </w:p>
        </w:tc>
        <w:tc>
          <w:tcPr>
            <w:tcW w:type="dxa" w:w="97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74 %</w:t>
            </w:r>
          </w:p>
        </w:tc>
        <w:tc>
          <w:tcPr>
            <w:tcW w:type="dxa" w:w="463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Vendedores 4,140 + muestras 1,146 + degustaciones 1,750 + material y POP 2,300 + embajadoras 2,400 + ferias 3,600 + aporte a eventos 2,800</w:t>
            </w:r>
          </w:p>
        </w:tc>
      </w:tr>
      <w:tr>
        <w:trPr>
          <w:tblHeader w:val="false"/>
        </w:trPr>
        <w:tc>
          <w:tcPr>
            <w:tcW w:type="dxa" w:w="278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ATL (televisión, radio, vía pública)</w:t>
            </w:r>
          </w:p>
        </w:tc>
        <w:tc>
          <w:tcPr>
            <w:tcW w:type="dxa" w:w="97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w:t>
            </w:r>
          </w:p>
        </w:tc>
        <w:tc>
          <w:tcPr>
            <w:tcW w:type="dxa" w:w="97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0 %</w:t>
            </w:r>
          </w:p>
        </w:tc>
        <w:tc>
          <w:tcPr>
            <w:tcW w:type="dxa" w:w="463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se usa</w:t>
            </w:r>
          </w:p>
        </w:tc>
      </w:tr>
      <w:tr>
        <w:trPr>
          <w:tblHeader w:val="false"/>
        </w:trPr>
        <w:tc>
          <w:tcPr>
            <w:tcW w:type="dxa" w:w="278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Total</w:t>
            </w:r>
          </w:p>
        </w:tc>
        <w:tc>
          <w:tcPr>
            <w:tcW w:type="dxa" w:w="97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24,544</w:t>
            </w:r>
          </w:p>
        </w:tc>
        <w:tc>
          <w:tcPr>
            <w:tcW w:type="dxa" w:w="97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100 %</w:t>
            </w:r>
          </w:p>
        </w:tc>
        <w:tc>
          <w:tcPr>
            <w:tcW w:type="dxa" w:w="463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tc>
      </w:tr>
    </w:tbl>
    <w:p>
      <w:pPr>
        <w:spacing w:after="80"/>
      </w:pPr>
    </w:p>
    <w:p>
      <w:pPr>
        <w:spacing w:after="120"/>
      </w:pPr>
      <w:r>
        <w:t xml:space="preserve">(Cálculo: 6,408 ÷ 24,544 = 26.1 %; 18,136 ÷ 24,544 = 73.9 %.)</w:t>
      </w:r>
    </w:p>
    <w:p>
      <w:pPr>
        <w:pStyle w:val="Heading2"/>
      </w:pPr>
      <w:r>
        <w:t xml:space="preserve">1.3 Por línea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25"/>
        <w:gridCol w:w="1085"/>
        <w:gridCol w:w="1750"/>
      </w:tblGrid>
      <w:tr>
        <w:trPr>
          <w:tblHeader/>
        </w:trPr>
        <w:tc>
          <w:tcPr>
            <w:tcW w:type="dxa" w:w="652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Línea</w:t>
            </w:r>
          </w:p>
        </w:tc>
        <w:tc>
          <w:tcPr>
            <w:tcW w:type="dxa" w:w="108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w:t>
            </w:r>
          </w:p>
        </w:tc>
        <w:tc>
          <w:tcPr>
            <w:tcW w:type="dxa" w:w="175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 del total</w:t>
            </w:r>
          </w:p>
        </w:tc>
      </w:tr>
      <w:tr>
        <w:trPr>
          <w:tblHeader w:val="false"/>
        </w:trPr>
        <w:tc>
          <w:tcPr>
            <w:tcW w:type="dxa" w:w="65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Pauta en redes sociales (Meta)</w:t>
            </w:r>
          </w:p>
        </w:tc>
        <w:tc>
          <w:tcPr>
            <w:tcW w:type="dxa" w:w="10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5,050</w:t>
            </w:r>
          </w:p>
        </w:tc>
        <w:tc>
          <w:tcPr>
            <w:tcW w:type="dxa" w:w="17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20.6 %</w:t>
            </w:r>
          </w:p>
        </w:tc>
      </w:tr>
      <w:tr>
        <w:trPr>
          <w:tblHeader w:val="false"/>
        </w:trPr>
        <w:tc>
          <w:tcPr>
            <w:tcW w:type="dxa" w:w="65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Pauta de expectativa (Instagram y TikTok)</w:t>
            </w:r>
          </w:p>
        </w:tc>
        <w:tc>
          <w:tcPr>
            <w:tcW w:type="dxa" w:w="108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600</w:t>
            </w:r>
          </w:p>
        </w:tc>
        <w:tc>
          <w:tcPr>
            <w:tcW w:type="dxa" w:w="17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2.4 %</w:t>
            </w:r>
          </w:p>
        </w:tc>
      </w:tr>
      <w:tr>
        <w:trPr>
          <w:tblHeader w:val="false"/>
        </w:trPr>
        <w:tc>
          <w:tcPr>
            <w:tcW w:type="dxa" w:w="65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Video de lanzamiento con niños</w:t>
            </w:r>
          </w:p>
        </w:tc>
        <w:tc>
          <w:tcPr>
            <w:tcW w:type="dxa" w:w="10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300</w:t>
            </w:r>
          </w:p>
        </w:tc>
        <w:tc>
          <w:tcPr>
            <w:tcW w:type="dxa" w:w="17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1.2 %</w:t>
            </w:r>
          </w:p>
        </w:tc>
      </w:tr>
      <w:tr>
        <w:trPr>
          <w:tblHeader w:val="false"/>
        </w:trPr>
        <w:tc>
          <w:tcPr>
            <w:tcW w:type="dxa" w:w="65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Vendedor(a) en ferias pagadas</w:t>
            </w:r>
          </w:p>
        </w:tc>
        <w:tc>
          <w:tcPr>
            <w:tcW w:type="dxa" w:w="108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540</w:t>
            </w:r>
          </w:p>
        </w:tc>
        <w:tc>
          <w:tcPr>
            <w:tcW w:type="dxa" w:w="17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2.2 %</w:t>
            </w:r>
          </w:p>
        </w:tc>
      </w:tr>
      <w:tr>
        <w:trPr>
          <w:tblHeader w:val="false"/>
        </w:trPr>
        <w:tc>
          <w:tcPr>
            <w:tcW w:type="dxa" w:w="65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Vendedor(a) en eventos sin costo</w:t>
            </w:r>
          </w:p>
        </w:tc>
        <w:tc>
          <w:tcPr>
            <w:tcW w:type="dxa" w:w="10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3,600</w:t>
            </w:r>
          </w:p>
        </w:tc>
        <w:tc>
          <w:tcPr>
            <w:tcW w:type="dxa" w:w="17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14.7 %</w:t>
            </w:r>
          </w:p>
        </w:tc>
      </w:tr>
      <w:tr>
        <w:trPr>
          <w:tblHeader w:val="false"/>
        </w:trPr>
        <w:tc>
          <w:tcPr>
            <w:tcW w:type="dxa" w:w="65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Muestras de degustación (600)</w:t>
            </w:r>
          </w:p>
        </w:tc>
        <w:tc>
          <w:tcPr>
            <w:tcW w:type="dxa" w:w="108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1,146</w:t>
            </w:r>
          </w:p>
        </w:tc>
        <w:tc>
          <w:tcPr>
            <w:tcW w:type="dxa" w:w="17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4.7 %</w:t>
            </w:r>
          </w:p>
        </w:tc>
      </w:tr>
      <w:tr>
        <w:trPr>
          <w:tblHeader w:val="false"/>
        </w:trPr>
        <w:tc>
          <w:tcPr>
            <w:tcW w:type="dxa" w:w="65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Degustaciones extra</w:t>
            </w:r>
          </w:p>
        </w:tc>
        <w:tc>
          <w:tcPr>
            <w:tcW w:type="dxa" w:w="10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1,750</w:t>
            </w:r>
          </w:p>
        </w:tc>
        <w:tc>
          <w:tcPr>
            <w:tcW w:type="dxa" w:w="17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7.1 %</w:t>
            </w:r>
          </w:p>
        </w:tc>
      </w:tr>
      <w:tr>
        <w:trPr>
          <w:tblHeader w:val="false"/>
        </w:trPr>
        <w:tc>
          <w:tcPr>
            <w:tcW w:type="dxa" w:w="65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Material de stand y POP</w:t>
            </w:r>
          </w:p>
        </w:tc>
        <w:tc>
          <w:tcPr>
            <w:tcW w:type="dxa" w:w="108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2,300</w:t>
            </w:r>
          </w:p>
        </w:tc>
        <w:tc>
          <w:tcPr>
            <w:tcW w:type="dxa" w:w="17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9.4 %</w:t>
            </w:r>
          </w:p>
        </w:tc>
      </w:tr>
      <w:tr>
        <w:trPr>
          <w:tblHeader w:val="false"/>
        </w:trPr>
        <w:tc>
          <w:tcPr>
            <w:tcW w:type="dxa" w:w="65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Mamás embajadoras (premio al padre)</w:t>
            </w:r>
          </w:p>
        </w:tc>
        <w:tc>
          <w:tcPr>
            <w:tcW w:type="dxa" w:w="10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2,400</w:t>
            </w:r>
          </w:p>
        </w:tc>
        <w:tc>
          <w:tcPr>
            <w:tcW w:type="dxa" w:w="17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9.8 %</w:t>
            </w:r>
          </w:p>
        </w:tc>
      </w:tr>
      <w:tr>
        <w:trPr>
          <w:tblHeader w:val="false"/>
        </w:trPr>
        <w:tc>
          <w:tcPr>
            <w:tcW w:type="dxa" w:w="65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Influencers (40 packs)</w:t>
            </w:r>
          </w:p>
        </w:tc>
        <w:tc>
          <w:tcPr>
            <w:tcW w:type="dxa" w:w="108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458</w:t>
            </w:r>
          </w:p>
        </w:tc>
        <w:tc>
          <w:tcPr>
            <w:tcW w:type="dxa" w:w="17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1.9 %</w:t>
            </w:r>
          </w:p>
        </w:tc>
      </w:tr>
      <w:tr>
        <w:trPr>
          <w:tblHeader w:val="false"/>
        </w:trPr>
        <w:tc>
          <w:tcPr>
            <w:tcW w:type="dxa" w:w="65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Ferias pagadas (stand)</w:t>
            </w:r>
          </w:p>
        </w:tc>
        <w:tc>
          <w:tcPr>
            <w:tcW w:type="dxa" w:w="10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3,600</w:t>
            </w:r>
          </w:p>
        </w:tc>
        <w:tc>
          <w:tcPr>
            <w:tcW w:type="dxa" w:w="17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14.7 %</w:t>
            </w:r>
          </w:p>
        </w:tc>
      </w:tr>
      <w:tr>
        <w:trPr>
          <w:tblHeader w:val="false"/>
        </w:trPr>
        <w:tc>
          <w:tcPr>
            <w:tcW w:type="dxa" w:w="65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Aporte a eventos sin costo</w:t>
            </w:r>
          </w:p>
        </w:tc>
        <w:tc>
          <w:tcPr>
            <w:tcW w:type="dxa" w:w="108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2,800</w:t>
            </w:r>
          </w:p>
        </w:tc>
        <w:tc>
          <w:tcPr>
            <w:tcW w:type="dxa" w:w="17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11.4 %</w:t>
            </w:r>
          </w:p>
        </w:tc>
      </w:tr>
      <w:tr>
        <w:trPr>
          <w:tblHeader w:val="false"/>
        </w:trPr>
        <w:tc>
          <w:tcPr>
            <w:tcW w:type="dxa" w:w="65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Total</w:t>
            </w:r>
          </w:p>
        </w:tc>
        <w:tc>
          <w:tcPr>
            <w:tcW w:type="dxa" w:w="10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24,544</w:t>
            </w:r>
          </w:p>
        </w:tc>
        <w:tc>
          <w:tcPr>
            <w:tcW w:type="dxa" w:w="17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100 %</w:t>
            </w:r>
          </w:p>
        </w:tc>
      </w:tr>
    </w:tbl>
    <w:p>
      <w:pPr>
        <w:spacing w:after="80"/>
      </w:pPr>
    </w:p>
    <w:p>
      <w:pPr>
        <w:pStyle w:val="Heading2"/>
      </w:pPr>
      <w:r>
        <w:t xml:space="preserve">1.4 Por mes y por fase (octubre de 2026 a diciembre de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2"/>
        <w:gridCol w:w="673"/>
        <w:gridCol w:w="673"/>
        <w:gridCol w:w="673"/>
        <w:gridCol w:w="673"/>
        <w:gridCol w:w="561"/>
        <w:gridCol w:w="561"/>
        <w:gridCol w:w="561"/>
        <w:gridCol w:w="561"/>
        <w:gridCol w:w="561"/>
        <w:gridCol w:w="561"/>
        <w:gridCol w:w="561"/>
        <w:gridCol w:w="561"/>
        <w:gridCol w:w="561"/>
        <w:gridCol w:w="561"/>
        <w:gridCol w:w="566"/>
      </w:tblGrid>
      <w:tr>
        <w:trPr>
          <w:tblHeader/>
        </w:trPr>
        <w:tc>
          <w:tcPr>
            <w:tcW w:type="dxa" w:w="49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Mes</w:t>
            </w:r>
          </w:p>
        </w:tc>
        <w:tc>
          <w:tcPr>
            <w:tcW w:type="dxa" w:w="67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Oct-26</w:t>
            </w:r>
          </w:p>
        </w:tc>
        <w:tc>
          <w:tcPr>
            <w:tcW w:type="dxa" w:w="67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Nov-26</w:t>
            </w:r>
          </w:p>
        </w:tc>
        <w:tc>
          <w:tcPr>
            <w:tcW w:type="dxa" w:w="67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Dic-26</w:t>
            </w:r>
          </w:p>
        </w:tc>
        <w:tc>
          <w:tcPr>
            <w:tcW w:type="dxa" w:w="67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Ene-27</w:t>
            </w:r>
          </w:p>
        </w:tc>
        <w:tc>
          <w:tcPr>
            <w:tcW w:type="dxa" w:w="56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Feb</w:t>
            </w:r>
          </w:p>
        </w:tc>
        <w:tc>
          <w:tcPr>
            <w:tcW w:type="dxa" w:w="56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Mar</w:t>
            </w:r>
          </w:p>
        </w:tc>
        <w:tc>
          <w:tcPr>
            <w:tcW w:type="dxa" w:w="56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Abr</w:t>
            </w:r>
          </w:p>
        </w:tc>
        <w:tc>
          <w:tcPr>
            <w:tcW w:type="dxa" w:w="56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May</w:t>
            </w:r>
          </w:p>
        </w:tc>
        <w:tc>
          <w:tcPr>
            <w:tcW w:type="dxa" w:w="56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Jun</w:t>
            </w:r>
          </w:p>
        </w:tc>
        <w:tc>
          <w:tcPr>
            <w:tcW w:type="dxa" w:w="56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Jul</w:t>
            </w:r>
          </w:p>
        </w:tc>
        <w:tc>
          <w:tcPr>
            <w:tcW w:type="dxa" w:w="56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Ago</w:t>
            </w:r>
          </w:p>
        </w:tc>
        <w:tc>
          <w:tcPr>
            <w:tcW w:type="dxa" w:w="56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Set</w:t>
            </w:r>
          </w:p>
        </w:tc>
        <w:tc>
          <w:tcPr>
            <w:tcW w:type="dxa" w:w="56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Oct</w:t>
            </w:r>
          </w:p>
        </w:tc>
        <w:tc>
          <w:tcPr>
            <w:tcW w:type="dxa" w:w="56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Nov</w:t>
            </w:r>
          </w:p>
        </w:tc>
        <w:tc>
          <w:tcPr>
            <w:tcW w:type="dxa" w:w="56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5"/>
                <w:szCs w:val="15"/>
              </w:rPr>
              <w:t xml:space="preserve">Dic</w:t>
            </w:r>
          </w:p>
        </w:tc>
      </w:tr>
      <w:tr>
        <w:trPr>
          <w:tblHeader w:val="false"/>
        </w:trPr>
        <w:tc>
          <w:tcPr>
            <w:tcW w:type="dxa" w:w="4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S/</w:t>
            </w:r>
          </w:p>
        </w:tc>
        <w:tc>
          <w:tcPr>
            <w:tcW w:type="dxa" w:w="6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0</w:t>
            </w:r>
          </w:p>
        </w:tc>
        <w:tc>
          <w:tcPr>
            <w:tcW w:type="dxa" w:w="6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300</w:t>
            </w:r>
          </w:p>
        </w:tc>
        <w:tc>
          <w:tcPr>
            <w:tcW w:type="dxa" w:w="6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1,458</w:t>
            </w:r>
          </w:p>
        </w:tc>
        <w:tc>
          <w:tcPr>
            <w:tcW w:type="dxa" w:w="6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2,506</w:t>
            </w:r>
          </w:p>
        </w:tc>
        <w:tc>
          <w:tcPr>
            <w:tcW w:type="dxa" w:w="5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3,290</w:t>
            </w:r>
          </w:p>
        </w:tc>
        <w:tc>
          <w:tcPr>
            <w:tcW w:type="dxa" w:w="5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1,540</w:t>
            </w:r>
          </w:p>
        </w:tc>
        <w:tc>
          <w:tcPr>
            <w:tcW w:type="dxa" w:w="5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3,610</w:t>
            </w:r>
          </w:p>
        </w:tc>
        <w:tc>
          <w:tcPr>
            <w:tcW w:type="dxa" w:w="5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1,700</w:t>
            </w:r>
          </w:p>
        </w:tc>
        <w:tc>
          <w:tcPr>
            <w:tcW w:type="dxa" w:w="5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1,540</w:t>
            </w:r>
          </w:p>
        </w:tc>
        <w:tc>
          <w:tcPr>
            <w:tcW w:type="dxa" w:w="5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1,380</w:t>
            </w:r>
          </w:p>
        </w:tc>
        <w:tc>
          <w:tcPr>
            <w:tcW w:type="dxa" w:w="5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1,540</w:t>
            </w:r>
          </w:p>
        </w:tc>
        <w:tc>
          <w:tcPr>
            <w:tcW w:type="dxa" w:w="5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1,540</w:t>
            </w:r>
          </w:p>
        </w:tc>
        <w:tc>
          <w:tcPr>
            <w:tcW w:type="dxa" w:w="5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1,540</w:t>
            </w:r>
          </w:p>
        </w:tc>
        <w:tc>
          <w:tcPr>
            <w:tcW w:type="dxa" w:w="5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1,380</w:t>
            </w:r>
          </w:p>
        </w:tc>
        <w:tc>
          <w:tcPr>
            <w:tcW w:type="dxa" w:w="5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5"/>
                <w:szCs w:val="15"/>
              </w:rPr>
              <w:t xml:space="preserve">1,220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3"/>
        <w:gridCol w:w="1580"/>
        <w:gridCol w:w="1067"/>
        <w:gridCol w:w="4870"/>
      </w:tblGrid>
      <w:tr>
        <w:trPr>
          <w:tblHeader/>
        </w:trPr>
        <w:tc>
          <w:tcPr>
            <w:tcW w:type="dxa" w:w="184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Fase</w:t>
            </w:r>
          </w:p>
        </w:tc>
        <w:tc>
          <w:tcPr>
            <w:tcW w:type="dxa" w:w="158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Meses</w:t>
            </w:r>
          </w:p>
        </w:tc>
        <w:tc>
          <w:tcPr>
            <w:tcW w:type="dxa" w:w="106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w:t>
            </w:r>
          </w:p>
        </w:tc>
        <w:tc>
          <w:tcPr>
            <w:tcW w:type="dxa" w:w="487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Meta</w:t>
            </w:r>
          </w:p>
        </w:tc>
      </w:tr>
      <w:tr>
        <w:trPr>
          <w:tblHeader w:val="false"/>
        </w:trPr>
        <w:tc>
          <w:tcPr>
            <w:tcW w:type="dxa" w:w="184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Prelanzamiento</w:t>
            </w:r>
          </w:p>
        </w:tc>
        <w:tc>
          <w:tcPr>
            <w:tcW w:type="dxa" w:w="15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Oct–dic 2026</w:t>
            </w:r>
          </w:p>
        </w:tc>
        <w:tc>
          <w:tcPr>
            <w:tcW w:type="dxa" w:w="10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1,758</w:t>
            </w:r>
          </w:p>
        </w:tc>
        <w:tc>
          <w:tcPr>
            <w:tcW w:type="dxa" w:w="48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100 contactos en espera</w:t>
            </w:r>
          </w:p>
        </w:tc>
      </w:tr>
      <w:tr>
        <w:trPr>
          <w:tblHeader w:val="false"/>
        </w:trPr>
        <w:tc>
          <w:tcPr>
            <w:tcW w:type="dxa" w:w="184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Lanzamiento</w:t>
            </w:r>
          </w:p>
        </w:tc>
        <w:tc>
          <w:tcPr>
            <w:tcW w:type="dxa" w:w="15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Ene–feb 2027</w:t>
            </w:r>
          </w:p>
        </w:tc>
        <w:tc>
          <w:tcPr>
            <w:tcW w:type="dxa" w:w="10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5,796</w:t>
            </w:r>
          </w:p>
        </w:tc>
        <w:tc>
          <w:tcPr>
            <w:tcW w:type="dxa" w:w="487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3,700 brownies</w:t>
            </w:r>
          </w:p>
        </w:tc>
      </w:tr>
      <w:tr>
        <w:trPr>
          <w:tblHeader w:val="false"/>
        </w:trPr>
        <w:tc>
          <w:tcPr>
            <w:tcW w:type="dxa" w:w="184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Crecer</w:t>
            </w:r>
          </w:p>
        </w:tc>
        <w:tc>
          <w:tcPr>
            <w:tcW w:type="dxa" w:w="15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Mar–jul 2027</w:t>
            </w:r>
          </w:p>
        </w:tc>
        <w:tc>
          <w:tcPr>
            <w:tcW w:type="dxa" w:w="10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9,770</w:t>
            </w:r>
          </w:p>
        </w:tc>
        <w:tc>
          <w:tcPr>
            <w:tcW w:type="dxa" w:w="48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20,320 brownies; 3 colegios</w:t>
            </w:r>
          </w:p>
        </w:tc>
      </w:tr>
      <w:tr>
        <w:trPr>
          <w:tblHeader w:val="false"/>
        </w:trPr>
        <w:tc>
          <w:tcPr>
            <w:tcW w:type="dxa" w:w="184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Expandir</w:t>
            </w:r>
          </w:p>
        </w:tc>
        <w:tc>
          <w:tcPr>
            <w:tcW w:type="dxa" w:w="15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Ago–dic 2027</w:t>
            </w:r>
          </w:p>
        </w:tc>
        <w:tc>
          <w:tcPr>
            <w:tcW w:type="dxa" w:w="10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7,220</w:t>
            </w:r>
          </w:p>
        </w:tc>
        <w:tc>
          <w:tcPr>
            <w:tcW w:type="dxa" w:w="487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28,311 brownies; unos 2,300 contactos</w:t>
            </w:r>
          </w:p>
        </w:tc>
      </w:tr>
      <w:tr>
        <w:trPr>
          <w:tblHeader w:val="false"/>
        </w:trPr>
        <w:tc>
          <w:tcPr>
            <w:tcW w:type="dxa" w:w="184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Total</w:t>
            </w:r>
          </w:p>
        </w:tc>
        <w:tc>
          <w:tcPr>
            <w:tcW w:type="dxa" w:w="15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15 meses</w:t>
            </w:r>
          </w:p>
        </w:tc>
        <w:tc>
          <w:tcPr>
            <w:tcW w:type="dxa" w:w="10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24,544</w:t>
            </w:r>
          </w:p>
        </w:tc>
        <w:tc>
          <w:tcPr>
            <w:tcW w:type="dxa" w:w="48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tc>
      </w:tr>
    </w:tbl>
    <w:p>
      <w:pPr>
        <w:spacing w:after="80"/>
      </w:pPr>
    </w:p>
    <w:p>
      <w:pPr>
        <w:spacing w:after="120"/>
      </w:pPr>
      <w:r>
        <w:t xml:space="preserve">Los picos de febrero (3,290) y abril (3,610) son las 2 ferias pagadas (S/2,070 cada una); enero (2,506) incluye las 600 muestras. Solo 2027 suma S/22,786, es decir S/0.44 de marketing por brownie vendido (22,786 ÷ 52,331 = 0.435).</w:t>
      </w:r>
    </w:p>
    <w:p>
      <w:pPr>
        <w:pStyle w:val="Heading2"/>
      </w:pPr>
      <w:r>
        <w:t xml:space="preserve">1.5 Los S/900 al mes se mantienen</w:t>
      </w:r>
    </w:p>
    <w:p>
      <w:pPr>
        <w:spacing w:after="120"/>
      </w:pPr>
      <w:r>
        <w:t xml:space="preserve">El presupuesto de marketing mensual del Excel v7 es de </w:t>
      </w:r>
      <w:r>
        <w:rPr>
          <w:b/>
          <w:bCs/>
        </w:rPr>
        <w:t xml:space="preserve">S/900 al mes</w:t>
      </w:r>
      <w:r>
        <w:t xml:space="preserve"> y </w:t>
      </w:r>
      <w:r>
        <w:rPr>
          <w:b/>
          <w:bCs/>
        </w:rPr>
        <w:t xml:space="preserve">no cambia</w:t>
      </w:r>
      <w:r>
        <w:t xml:space="preserve">:</w:t>
      </w:r>
    </w:p>
    <w:p>
      <w:pPr>
        <w:pStyle w:val="ListParagraph"/>
        <w:numPr>
          <w:ilvl w:val="0"/>
          <w:numId w:val="2"/>
        </w:numPr>
        <w:spacing w:after="60"/>
      </w:pPr>
      <w:r>
        <w:rPr>
          <w:b/>
          <w:bCs/>
        </w:rPr>
        <w:t xml:space="preserve">S/700 al mes</w:t>
      </w:r>
      <w:r>
        <w:t xml:space="preserve"> de pauta, degustación y material = S/8,400 en 2027. Se reparten en pauta en Meta S/5,050, degustaciones extra S/1,750 y material S/1,600.</w:t>
      </w:r>
    </w:p>
    <w:p>
      <w:pPr>
        <w:pStyle w:val="ListParagraph"/>
        <w:numPr>
          <w:ilvl w:val="0"/>
          <w:numId w:val="2"/>
        </w:numPr>
        <w:spacing w:after="60"/>
      </w:pPr>
      <w:r>
        <w:rPr>
          <w:b/>
          <w:bCs/>
        </w:rPr>
        <w:t xml:space="preserve">S/200 al mes</w:t>
      </w:r>
      <w:r>
        <w:t xml:space="preserve"> de mamás embajadoras = S/2,400.</w:t>
      </w:r>
    </w:p>
    <w:p>
      <w:pPr>
        <w:pStyle w:val="ListParagraph"/>
        <w:numPr>
          <w:ilvl w:val="0"/>
          <w:numId w:val="2"/>
        </w:numPr>
        <w:spacing w:after="60"/>
      </w:pPr>
      <w:r>
        <w:rPr>
          <w:b/>
          <w:bCs/>
        </w:rPr>
        <w:t xml:space="preserve">Total fijo: S/900 × 12 = S/10,800.</w:t>
      </w:r>
    </w:p>
    <w:p>
      <w:pPr>
        <w:spacing w:after="120"/>
      </w:pPr>
      <w:r>
        <w:t xml:space="preserve">El total del plan (S/24,544) es mayor porque suma tres partidas que el Excel v7 ya tenía en </w:t>
      </w:r>
      <w:r>
        <w:rPr>
          <w:b/>
          <w:bCs/>
        </w:rPr>
        <w:t xml:space="preserve">otras líneas</w:t>
      </w:r>
      <w:r>
        <w:t xml:space="preserve">, no en los S/900: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93"/>
        <w:gridCol w:w="1042"/>
        <w:gridCol w:w="2925"/>
      </w:tblGrid>
      <w:tr>
        <w:trPr>
          <w:tblHeader/>
        </w:trPr>
        <w:tc>
          <w:tcPr>
            <w:tcW w:type="dxa" w:w="539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Partida</w:t>
            </w:r>
          </w:p>
        </w:tc>
        <w:tc>
          <w:tcPr>
            <w:tcW w:type="dxa" w:w="104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w:t>
            </w:r>
          </w:p>
        </w:tc>
        <w:tc>
          <w:tcPr>
            <w:tcW w:type="dxa" w:w="292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Dónde estaba en el Excel v7</w:t>
            </w:r>
          </w:p>
        </w:tc>
      </w:tr>
      <w:tr>
        <w:trPr>
          <w:tblHeader w:val="false"/>
        </w:trPr>
        <w:tc>
          <w:tcPr>
            <w:tcW w:type="dxa" w:w="53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Marketing fijo (S/700 al mes)</w:t>
            </w:r>
          </w:p>
        </w:tc>
        <w:tc>
          <w:tcPr>
            <w:tcW w:type="dxa" w:w="104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8,400</w:t>
            </w:r>
          </w:p>
        </w:tc>
        <w:tc>
          <w:tcPr>
            <w:tcW w:type="dxa" w:w="29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Costos fijos, hoja Supuestos</w:t>
            </w:r>
          </w:p>
        </w:tc>
      </w:tr>
      <w:tr>
        <w:trPr>
          <w:tblHeader w:val="false"/>
        </w:trPr>
        <w:tc>
          <w:tcPr>
            <w:tcW w:type="dxa" w:w="53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Embajadoras (S/200 al mes)</w:t>
            </w:r>
          </w:p>
        </w:tc>
        <w:tc>
          <w:tcPr>
            <w:tcW w:type="dxa" w:w="104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2,400</w:t>
            </w:r>
          </w:p>
        </w:tc>
        <w:tc>
          <w:tcPr>
            <w:tcW w:type="dxa" w:w="29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Costos fijos, hoja Supuestos</w:t>
            </w:r>
          </w:p>
        </w:tc>
      </w:tr>
      <w:tr>
        <w:trPr>
          <w:tblHeader w:val="false"/>
        </w:trPr>
        <w:tc>
          <w:tcPr>
            <w:tcW w:type="dxa" w:w="53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Marketing de lanzamiento</w:t>
            </w:r>
          </w:p>
        </w:tc>
        <w:tc>
          <w:tcPr>
            <w:tcW w:type="dxa" w:w="104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3,204</w:t>
            </w:r>
          </w:p>
        </w:tc>
        <w:tc>
          <w:tcPr>
            <w:tcW w:type="dxa" w:w="29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Inversión inicial</w:t>
            </w:r>
          </w:p>
        </w:tc>
      </w:tr>
      <w:tr>
        <w:trPr>
          <w:tblHeader w:val="false"/>
        </w:trPr>
        <w:tc>
          <w:tcPr>
            <w:tcW w:type="dxa" w:w="53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 ferias pagadas (stand S/1,800 + vendedor S/270 cada una)</w:t>
            </w:r>
          </w:p>
        </w:tc>
        <w:tc>
          <w:tcPr>
            <w:tcW w:type="dxa" w:w="104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4,140</w:t>
            </w:r>
          </w:p>
        </w:tc>
        <w:tc>
          <w:tcPr>
            <w:tcW w:type="dxa" w:w="29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Hoja Mensual, ferias pagadas</w:t>
            </w:r>
          </w:p>
        </w:tc>
      </w:tr>
      <w:tr>
        <w:trPr>
          <w:tblHeader w:val="false"/>
        </w:trPr>
        <w:tc>
          <w:tcPr>
            <w:tcW w:type="dxa" w:w="53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40 eventos sin costo (vendedor S/90 + aporte S/70 cada uno)</w:t>
            </w:r>
          </w:p>
        </w:tc>
        <w:tc>
          <w:tcPr>
            <w:tcW w:type="dxa" w:w="104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6,400</w:t>
            </w:r>
          </w:p>
        </w:tc>
        <w:tc>
          <w:tcPr>
            <w:tcW w:type="dxa" w:w="29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Hoja Mensual, eventos sin costo</w:t>
            </w:r>
          </w:p>
        </w:tc>
      </w:tr>
      <w:tr>
        <w:trPr>
          <w:tblHeader w:val="false"/>
        </w:trPr>
        <w:tc>
          <w:tcPr>
            <w:tcW w:type="dxa" w:w="53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Total del plan de marketing</w:t>
            </w:r>
          </w:p>
        </w:tc>
        <w:tc>
          <w:tcPr>
            <w:tcW w:type="dxa" w:w="104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24,544</w:t>
            </w:r>
          </w:p>
        </w:tc>
        <w:tc>
          <w:tcPr>
            <w:tcW w:type="dxa" w:w="29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 hoja del Excel marca "Cuadra"</w:t>
            </w:r>
          </w:p>
        </w:tc>
      </w:tr>
    </w:tbl>
    <w:p>
      <w:pPr>
        <w:spacing w:after="80"/>
      </w:pPr>
    </w:p>
    <w:p>
      <w:pPr>
        <w:spacing w:after="120"/>
      </w:pPr>
      <w:r>
        <w:t xml:space="preserve">Lo que no entra: el espacio de los stands (S/600 por punto al mes) y los vendedores de stand (S/90 por día) son costo de venta; la degustación diaria del stand va en el costo variable; la app (S/250 al mes) va en administración; la identidad (S/800) y las fotos (S/300) están en la inversión inicial.</w:t>
      </w:r>
    </w:p>
    <w:p>
      <w:pPr>
        <w:pBdr>
          <w:bottom w:val="single" w:color="BA4036" w:sz="6" w:space="1"/>
        </w:pBdr>
        <w:spacing w:after="160"/>
      </w:pPr>
    </w:p>
    <w:p>
      <w:pPr>
        <w:pStyle w:val="Heading1"/>
      </w:pPr>
      <w:r>
        <w:t xml:space="preserve">2. CPA, ROAS y ROI con el prompt 4 de la clase</w:t>
      </w:r>
    </w:p>
    <w:p>
      <w:pPr>
        <w:pStyle w:val="Heading2"/>
      </w:pPr>
      <w:r>
        <w:t xml:space="preserve">2.1 Prompt 4 completado</w:t>
      </w:r>
    </w:p>
    <w:p>
      <w:pPr>
        <w:spacing w:after="120"/>
      </w:pPr>
      <w:r>
        <w:t xml:space="preserve">&gt; Eres un analista de marketing digital. Tu tarea es estimar los principales indicadores de desempeño publicitario (CPA, ROAS, costos por campaña) para una estrategia de lanzamiento de un nuevo producto. El contexto es un negocio emprendedor basado en el modelo Canvas, alineado a los ODS y orientado al canal digital.</w:t>
      </w:r>
    </w:p>
    <w:p>
      <w:pPr>
        <w:spacing w:after="120"/>
      </w:pPr>
      <w:r>
        <w:t xml:space="preserve">&gt;</w:t>
      </w:r>
    </w:p>
    <w:p>
      <w:pPr>
        <w:spacing w:after="120"/>
      </w:pPr>
      <w:r>
        <w:t xml:space="preserve">&gt; - </w:t>
      </w:r>
      <w:r>
        <w:rPr>
          <w:b/>
          <w:bCs/>
        </w:rPr>
        <w:t xml:space="preserve">Producto/Servicio que ofreces:</w:t>
      </w:r>
      <w:r>
        <w:t xml:space="preserve"> AndiBite, mini brownie de 20 g con sangrecita de res en polvo liofilizada (hierro hemo), con el hierro medido en cada lote y una app con QR en el envase. Precio de S/4.16 a S/6.00 por brownie con IGV según el canal.</w:t>
      </w:r>
    </w:p>
    <w:p>
      <w:pPr>
        <w:spacing w:after="120"/>
      </w:pPr>
      <w:r>
        <w:t xml:space="preserve">&gt; - </w:t>
      </w:r>
      <w:r>
        <w:rPr>
          <w:b/>
          <w:bCs/>
        </w:rPr>
        <w:t xml:space="preserve">Objetivo de la campaña:</w:t>
      </w:r>
      <w:r>
        <w:t xml:space="preserve"> contactos de WhatsApp con permiso (leads) y ventas. Los contactos sirven para la lista de espera en 2026 y para la recompra en 2027.</w:t>
      </w:r>
    </w:p>
    <w:p>
      <w:pPr>
        <w:spacing w:after="120"/>
      </w:pPr>
      <w:r>
        <w:t xml:space="preserve">&gt; - </w:t>
      </w:r>
      <w:r>
        <w:rPr>
          <w:b/>
          <w:bCs/>
        </w:rPr>
        <w:t xml:space="preserve">Segmento objetivo:</w:t>
      </w:r>
      <w:r>
        <w:t xml:space="preserve"> padres y madres de 32 a 45 años, NSE A y B, con hijos de 4 a 11 años en colegio privado en Lima Top y Lima Moderna. Claudia Mendoza (A, San Borja) y Rodrigo Salazar (B, San Miguel), con la pauta repartida 50/50 desde febrero de 2027.</w:t>
      </w:r>
    </w:p>
    <w:p>
      <w:pPr>
        <w:spacing w:after="120"/>
      </w:pPr>
      <w:r>
        <w:t xml:space="preserve">&gt; - </w:t>
      </w:r>
      <w:r>
        <w:rPr>
          <w:b/>
          <w:bCs/>
        </w:rPr>
        <w:t xml:space="preserve">Presupuesto total estimado para la campaña:</w:t>
      </w:r>
      <w:r>
        <w:t xml:space="preserve"> S/5,050 de pauta en Meta en 2027 (S/450 al mes en promedio) y S/600 de pauta de expectativa en diciembre de 2026. El marketing total del plan es S/24,544 (se usa solo en el ROI).</w:t>
      </w:r>
    </w:p>
    <w:p>
      <w:pPr>
        <w:spacing w:after="120"/>
      </w:pPr>
      <w:r>
        <w:t xml:space="preserve">&gt; - </w:t>
      </w:r>
      <w:r>
        <w:rPr>
          <w:b/>
          <w:bCs/>
        </w:rPr>
        <w:t xml:space="preserve">Plataforma principal:</w:t>
      </w:r>
      <w:r>
        <w:t xml:space="preserve"> Meta Ads (Facebook e Instagram), con botón a WhatsApp.</w:t>
      </w:r>
    </w:p>
    <w:p>
      <w:pPr>
        <w:spacing w:after="120"/>
      </w:pPr>
      <w:r>
        <w:t xml:space="preserve">&gt; - </w:t>
      </w:r>
      <w:r>
        <w:rPr>
          <w:b/>
          <w:bCs/>
        </w:rPr>
        <w:t xml:space="preserve">CPC o CPM:</w:t>
      </w:r>
      <w:r>
        <w:t xml:space="preserve"> CPM de US$3.70 y CPC de US$0.36 para Perú (rango de CPM: US$3.00 a 4.60), con tipo de cambio de S/3.43 por dólar (BCRP, 15-oct-2026).</w:t>
      </w:r>
    </w:p>
    <w:p>
      <w:pPr>
        <w:spacing w:after="120"/>
      </w:pPr>
      <w:r>
        <w:t xml:space="preserve">&gt; - </w:t>
      </w:r>
      <w:r>
        <w:rPr>
          <w:b/>
          <w:bCs/>
        </w:rPr>
        <w:t xml:space="preserve">Tasa de conversión estimada:</w:t>
      </w:r>
      <w:r>
        <w:t xml:space="preserve"> clic a contacto de WhatsApp, 15 % (rango de 10 % a 25 %) [POR CONFIRMAR]; contacto a primera compra, 20 % (1 de cada 5, del documento 10) [META PROPUESTA].</w:t>
      </w:r>
    </w:p>
    <w:p>
      <w:pPr>
        <w:spacing w:after="120"/>
      </w:pPr>
      <w:r>
        <w:t xml:space="preserve">&gt; - </w:t>
      </w:r>
      <w:r>
        <w:rPr>
          <w:b/>
          <w:bCs/>
        </w:rPr>
        <w:t xml:space="preserve">Valor promedio por compra (ticket promedio):</w:t>
      </w:r>
      <w:r>
        <w:t xml:space="preserve"> S/4.68 por brownie con IGV (244,728 ÷ 52,331). Un pedido de WhatsApp tiene unos 7.5 brownies: 7.5 × 4.68 = S/35.10 con IGV.</w:t>
      </w:r>
    </w:p>
    <w:p>
      <w:pPr>
        <w:spacing w:after="120"/>
      </w:pPr>
      <w:r>
        <w:t xml:space="preserve">&gt;</w:t>
      </w:r>
    </w:p>
    <w:p>
      <w:pPr>
        <w:spacing w:after="120"/>
      </w:pPr>
      <w:r>
        <w:t xml:space="preserve">&gt; Con esta información, estima lo siguiente en una tabla con los siguientes encabezados: Métrica estimada, valor calculado, interpretación.</w:t>
      </w:r>
    </w:p>
    <w:p>
      <w:pPr>
        <w:pStyle w:val="Heading2"/>
      </w:pPr>
      <w:r>
        <w:t xml:space="preserve">2.2 Benchmarks usados (Meta Ads, Perú y Latinoamérica)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Dato</w:t>
            </w:r>
          </w:p>
        </w:tc>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Valor</w:t>
            </w:r>
          </w:p>
        </w:tc>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Fuente y fecha</w:t>
            </w:r>
          </w:p>
        </w:tc>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Confianza</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CPM, Perú</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US$3.70 (rango US$3.00 a 4.60)</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AdAmigo, "Meta Ads CPM &amp; CPC Benchmarks by Country in 2026", publicado el 18-oct-2026. Son proyecciones 2026 "basadas en benchmarks de la industria y datos de fines de 2025"; no nombra al proveedor de los datos</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Media: una sola fuente, no es dato medido</w:t>
            </w:r>
          </w:p>
        </w:tc>
      </w:tr>
      <w:tr>
        <w:trPr>
          <w:tblHeader w:val="false"/>
        </w:trPr>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CPC, Perú</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US$0.36</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 misma fuente</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Media</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CPM y CPC, otros países de la región (referencia)</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Brasil US$4.20 y 0.35; México US$4.50 y 0.45; Argentina US$3.80 y 0.38; Chile US$5.20 y 0.60; Colombia US$4.00 y 0.42</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misma fuente</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Media. Perú es el más barato junto con Argentina y Brasil</w:t>
            </w:r>
          </w:p>
        </w:tc>
      </w:tr>
      <w:tr>
        <w:trPr>
          <w:tblHeader w:val="false"/>
        </w:trPr>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CTR</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1.03 % (derivado)</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Cálculo: CTR = CPM ÷ (1,000 × CPC) = 3.70 ÷ (1,000 × 0.36). Cuadra con el promedio mundial de 0.9 % (Trendtrack, 2025) y 1.57 % (Bestever, 3-ago-2025, que lo atribuye a WordStream)</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Baja: no hay CTR publicado para Perú [POR CONFIRMAR]</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Conversión de clic a contacto de WhatsApp</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10 % a 25 %, base 15 %</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hay dato confiable para Perú ni Latinoamérica. Rango de trabajo del equipo</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[POR CONFIRMAR] con Ads Manager en enero de 2027</w:t>
            </w:r>
          </w:p>
        </w:tc>
      </w:tr>
      <w:tr>
        <w:trPr>
          <w:tblHeader w:val="false"/>
        </w:trPr>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Conversión de clic a compra en una tienda en línea (solo referencia)</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3.26 % (rubro retail)</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Bestever, 3-ago-2025, que cita a WordStream, Triple Whale y AgencyAnalytics, sin tamaño de muestra. No aplica a AndiBite, porque aquí la compra es en el stand o por WhatsApp</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Baja</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Tipo de cambio</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S/3.43 por US$</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BCRP, tipo de cambio interbancario venta del 15-oct-2026: S/3.428, el último dato publicado al 19-oct-2026 (serie diaria PD04638PD). Del 1 al 15 de octubre de 2026 estuvo entre S/3.427 y S/3.454. En octubre de 2025, cuando se armó la primera versión, era S/3.40</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Alta: dato oficial. Se actualiza con el cierre de diciembre de 2026</w:t>
            </w:r>
          </w:p>
        </w:tc>
      </w:tr>
    </w:tbl>
    <w:p>
      <w:pPr>
        <w:spacing w:after="80"/>
      </w:pPr>
    </w:p>
    <w:p>
      <w:pPr>
        <w:pStyle w:val="Heading2"/>
      </w:pPr>
      <w:r>
        <w:t xml:space="preserve">2.3 Fórmulas y cálculo (escenario base)</w:t>
      </w:r>
    </w:p>
    <w:p>
      <w:pPr>
        <w:pStyle w:val="ListParagraph"/>
        <w:numPr>
          <w:ilvl w:val="0"/>
          <w:numId w:val="3"/>
        </w:numPr>
        <w:spacing w:after="60"/>
      </w:pPr>
      <w:r>
        <w:rPr>
          <w:b/>
          <w:bCs/>
        </w:rPr>
        <w:t xml:space="preserve">CPM en soles</w:t>
      </w:r>
      <w:r>
        <w:t xml:space="preserve"> = 3.70 × 3.43 = </w:t>
      </w:r>
      <w:r>
        <w:rPr>
          <w:b/>
          <w:bCs/>
        </w:rPr>
        <w:t xml:space="preserve">S/12.69</w:t>
      </w:r>
      <w:r>
        <w:t xml:space="preserve"> por mil impresiones.</w:t>
      </w:r>
    </w:p>
    <w:p>
      <w:pPr>
        <w:pStyle w:val="ListParagraph"/>
        <w:numPr>
          <w:ilvl w:val="0"/>
          <w:numId w:val="3"/>
        </w:numPr>
        <w:spacing w:after="60"/>
      </w:pPr>
      <w:r>
        <w:rPr>
          <w:b/>
          <w:bCs/>
        </w:rPr>
        <w:t xml:space="preserve">CPC en soles</w:t>
      </w:r>
      <w:r>
        <w:t xml:space="preserve"> = 0.36 × 3.43 = </w:t>
      </w:r>
      <w:r>
        <w:rPr>
          <w:b/>
          <w:bCs/>
        </w:rPr>
        <w:t xml:space="preserve">S/1.235</w:t>
      </w:r>
      <w:r>
        <w:t xml:space="preserve"> por clic.</w:t>
      </w:r>
    </w:p>
    <w:p>
      <w:pPr>
        <w:pStyle w:val="ListParagraph"/>
        <w:numPr>
          <w:ilvl w:val="0"/>
          <w:numId w:val="3"/>
        </w:numPr>
        <w:spacing w:after="60"/>
      </w:pPr>
      <w:r>
        <w:rPr>
          <w:b/>
          <w:bCs/>
        </w:rPr>
        <w:t xml:space="preserve">Impresiones</w:t>
      </w:r>
      <w:r>
        <w:t xml:space="preserve"> = pauta ÷ CPM × 1,000 = 5,050 ÷ 12.691 × 1,000 = </w:t>
      </w:r>
      <w:r>
        <w:rPr>
          <w:b/>
          <w:bCs/>
        </w:rPr>
        <w:t xml:space="preserve">397,920</w:t>
      </w:r>
      <w:r>
        <w:t xml:space="preserve">.</w:t>
      </w:r>
    </w:p>
    <w:p>
      <w:pPr>
        <w:pStyle w:val="ListParagraph"/>
        <w:numPr>
          <w:ilvl w:val="0"/>
          <w:numId w:val="3"/>
        </w:numPr>
        <w:spacing w:after="60"/>
      </w:pPr>
      <w:r>
        <w:rPr>
          <w:b/>
          <w:bCs/>
        </w:rPr>
        <w:t xml:space="preserve">Clics</w:t>
      </w:r>
      <w:r>
        <w:t xml:space="preserve"> = pauta ÷ CPC = 5,050 ÷ 1.2348 = </w:t>
      </w:r>
      <w:r>
        <w:rPr>
          <w:b/>
          <w:bCs/>
        </w:rPr>
        <w:t xml:space="preserve">4,090</w:t>
      </w:r>
      <w:r>
        <w:t xml:space="preserve">.</w:t>
      </w:r>
    </w:p>
    <w:p>
      <w:pPr>
        <w:pStyle w:val="ListParagraph"/>
        <w:numPr>
          <w:ilvl w:val="0"/>
          <w:numId w:val="3"/>
        </w:numPr>
        <w:spacing w:after="60"/>
      </w:pPr>
      <w:r>
        <w:rPr>
          <w:b/>
          <w:bCs/>
        </w:rPr>
        <w:t xml:space="preserve">CTR</w:t>
      </w:r>
      <w:r>
        <w:t xml:space="preserve"> = clics ÷ impresiones = 4,090 ÷ 397,920 = </w:t>
      </w:r>
      <w:r>
        <w:rPr>
          <w:b/>
          <w:bCs/>
        </w:rPr>
        <w:t xml:space="preserve">1.03 %</w:t>
      </w:r>
      <w:r>
        <w:t xml:space="preserve">.</w:t>
      </w:r>
    </w:p>
    <w:p>
      <w:pPr>
        <w:pStyle w:val="ListParagraph"/>
        <w:numPr>
          <w:ilvl w:val="0"/>
          <w:numId w:val="3"/>
        </w:numPr>
        <w:spacing w:after="60"/>
      </w:pPr>
      <w:r>
        <w:rPr>
          <w:b/>
          <w:bCs/>
        </w:rPr>
        <w:t xml:space="preserve">Contactos de WhatsApp (leads)</w:t>
      </w:r>
      <w:r>
        <w:t xml:space="preserve"> = clics × 15 % = 4,090 × 0.15 = </w:t>
      </w:r>
      <w:r>
        <w:rPr>
          <w:b/>
          <w:bCs/>
        </w:rPr>
        <w:t xml:space="preserve">613</w:t>
      </w:r>
      <w:r>
        <w:t xml:space="preserve">.</w:t>
      </w:r>
    </w:p>
    <w:p>
      <w:pPr>
        <w:pStyle w:val="ListParagraph"/>
        <w:numPr>
          <w:ilvl w:val="0"/>
          <w:numId w:val="3"/>
        </w:numPr>
        <w:spacing w:after="60"/>
      </w:pPr>
      <w:r>
        <w:rPr>
          <w:b/>
          <w:bCs/>
        </w:rPr>
        <w:t xml:space="preserve">CPA por contacto</w:t>
      </w:r>
      <w:r>
        <w:t xml:space="preserve"> = CPC ÷ conversión = 1.2348 ÷ 0.15 = </w:t>
      </w:r>
      <w:r>
        <w:rPr>
          <w:b/>
          <w:bCs/>
        </w:rPr>
        <w:t xml:space="preserve">S/8.23</w:t>
      </w:r>
      <w:r>
        <w:t xml:space="preserve"> (también = 5,050 ÷ 613.5 contactos sin redondear).</w:t>
      </w:r>
    </w:p>
    <w:p>
      <w:pPr>
        <w:pStyle w:val="ListParagraph"/>
        <w:numPr>
          <w:ilvl w:val="0"/>
          <w:numId w:val="3"/>
        </w:numPr>
        <w:spacing w:after="60"/>
      </w:pPr>
      <w:r>
        <w:rPr>
          <w:b/>
          <w:bCs/>
        </w:rPr>
        <w:t xml:space="preserve">Clientes nuevos</w:t>
      </w:r>
      <w:r>
        <w:t xml:space="preserve"> = contactos × 20 % = 613.5 × 0.20 = </w:t>
      </w:r>
      <w:r>
        <w:rPr>
          <w:b/>
          <w:bCs/>
        </w:rPr>
        <w:t xml:space="preserve">123</w:t>
      </w:r>
      <w:r>
        <w:t xml:space="preserve"> (122.7 sin redondear).</w:t>
      </w:r>
    </w:p>
    <w:p>
      <w:pPr>
        <w:pStyle w:val="ListParagraph"/>
        <w:numPr>
          <w:ilvl w:val="0"/>
          <w:numId w:val="3"/>
        </w:numPr>
        <w:spacing w:after="60"/>
      </w:pPr>
      <w:r>
        <w:rPr>
          <w:b/>
          <w:bCs/>
        </w:rPr>
        <w:t xml:space="preserve">CPA por cliente</w:t>
      </w:r>
      <w:r>
        <w:t xml:space="preserve"> = CPA por contacto ÷ 20 % = 8.23 ÷ 0.20 = </w:t>
      </w:r>
      <w:r>
        <w:rPr>
          <w:b/>
          <w:bCs/>
        </w:rPr>
        <w:t xml:space="preserve">S/41.16</w:t>
      </w:r>
      <w:r>
        <w:t xml:space="preserve">.</w:t>
      </w:r>
    </w:p>
    <w:p>
      <w:pPr>
        <w:pStyle w:val="ListParagraph"/>
        <w:numPr>
          <w:ilvl w:val="0"/>
          <w:numId w:val="3"/>
        </w:numPr>
        <w:spacing w:after="60"/>
      </w:pPr>
      <w:r>
        <w:rPr>
          <w:b/>
          <w:bCs/>
        </w:rPr>
        <w:t xml:space="preserve">Ventas del primer pedido</w:t>
      </w:r>
      <w:r>
        <w:t xml:space="preserve"> = clientes × ticket del pedido = 122.7 × 35.10 = </w:t>
      </w:r>
      <w:r>
        <w:rPr>
          <w:b/>
          <w:bCs/>
        </w:rPr>
        <w:t xml:space="preserve">S/4,307 con IGV</w:t>
      </w:r>
      <w:r>
        <w:t xml:space="preserve">; sin IGV = 4,307 ÷ 1.18 = </w:t>
      </w:r>
      <w:r>
        <w:rPr>
          <w:b/>
          <w:bCs/>
        </w:rPr>
        <w:t xml:space="preserve">S/3,650</w:t>
      </w:r>
      <w:r>
        <w:t xml:space="preserve">.</w:t>
      </w:r>
    </w:p>
    <w:p>
      <w:pPr>
        <w:pStyle w:val="ListParagraph"/>
        <w:numPr>
          <w:ilvl w:val="0"/>
          <w:numId w:val="3"/>
        </w:numPr>
        <w:spacing w:after="60"/>
      </w:pPr>
      <w:r>
        <w:rPr>
          <w:b/>
          <w:bCs/>
        </w:rPr>
        <w:t xml:space="preserve">ROAS del primer pedido</w:t>
      </w:r>
      <w:r>
        <w:t xml:space="preserve"> (sin IGV) = 3,650 ÷ 5,050 = </w:t>
      </w:r>
      <w:r>
        <w:rPr>
          <w:b/>
          <w:bCs/>
        </w:rPr>
        <w:t xml:space="preserve">0.72</w:t>
      </w:r>
      <w:r>
        <w:t xml:space="preserve">.</w:t>
      </w:r>
    </w:p>
    <w:p>
      <w:pPr>
        <w:pStyle w:val="ListParagraph"/>
        <w:numPr>
          <w:ilvl w:val="0"/>
          <w:numId w:val="3"/>
        </w:numPr>
        <w:spacing w:after="60"/>
      </w:pPr>
      <w:r>
        <w:rPr>
          <w:b/>
          <w:bCs/>
        </w:rPr>
        <w:t xml:space="preserve">Contribución de un pedido de WhatsApp</w:t>
      </w:r>
      <w:r>
        <w:t xml:space="preserve"> = 7.5 brownies × S/1.393 por brownie (hoja Proyeccion del Excel v7: ventas sin IGV menos producción y costo variable de canal) = </w:t>
      </w:r>
      <w:r>
        <w:rPr>
          <w:b/>
          <w:bCs/>
        </w:rPr>
        <w:t xml:space="preserve">S/10.45</w:t>
      </w:r>
      <w:r>
        <w:t xml:space="preserve">.</w:t>
      </w:r>
    </w:p>
    <w:p>
      <w:pPr>
        <w:pStyle w:val="ListParagraph"/>
        <w:numPr>
          <w:ilvl w:val="0"/>
          <w:numId w:val="3"/>
        </w:numPr>
        <w:spacing w:after="60"/>
      </w:pPr>
      <w:r>
        <w:rPr>
          <w:b/>
          <w:bCs/>
        </w:rPr>
        <w:t xml:space="preserve">Pedidos para recuperar el CPA por cliente</w:t>
      </w:r>
      <w:r>
        <w:t xml:space="preserve"> = 41.16 ÷ 10.45 = </w:t>
      </w:r>
      <w:r>
        <w:rPr>
          <w:b/>
          <w:bCs/>
        </w:rPr>
        <w:t xml:space="preserve">3.9 pedidos</w:t>
      </w:r>
      <w:r>
        <w:t xml:space="preserve">.</w:t>
      </w:r>
    </w:p>
    <w:p>
      <w:pPr>
        <w:spacing w:after="120"/>
      </w:pPr>
      <w:r>
        <w:t xml:space="preserve">Con el valor exacto de WhatsApp del Excel (S/4.3375 por brownie, o S/32.53 por pedido) el ROAS del primer pedido baja de 0.72 a 0.67. Usamos S/4.68 porque lo pide la clase y es el ticket promedio de todos los canales.</w:t>
      </w:r>
    </w:p>
    <w:p>
      <w:pPr>
        <w:spacing w:after="120"/>
      </w:pPr>
      <w:r>
        <w:rPr>
          <w:b/>
          <w:bCs/>
        </w:rPr>
        <w:t xml:space="preserve">Qué cambió con el tipo de cambio.</w:t>
      </w:r>
      <w:r>
        <w:t xml:space="preserve"> La primera versión usaba S/3.40 (octubre de 2025). Con S/3.43 (octubre de 2026) la pauta compra un poco menos: las impresiones bajan de 401,431 a 397,920, los clics de 4,126 a 4,090, los contactos de 619 a 613, el CPA por contacto sube de S/8.16 a S/8.23 y el ROAS del primer pedido baja de 0.73 a 0.72. Las conclusiones no cambian. La inversión (S/24,544), los precios y el ROI del marketing total no dependen del dólar.</w:t>
      </w:r>
    </w:p>
    <w:p>
      <w:pPr>
        <w:pStyle w:val="Heading2"/>
      </w:pPr>
      <w:r>
        <w:t xml:space="preserve">2.4 Sensibilidad (pauta de 2027, S/5,050)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5"/>
        <w:gridCol w:w="1179"/>
        <w:gridCol w:w="1025"/>
        <w:gridCol w:w="1257"/>
        <w:gridCol w:w="1179"/>
        <w:gridCol w:w="1179"/>
        <w:gridCol w:w="2516"/>
      </w:tblGrid>
      <w:tr>
        <w:trPr>
          <w:tblHeader/>
        </w:trPr>
        <w:tc>
          <w:tcPr>
            <w:tcW w:type="dxa" w:w="102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Escenario</w:t>
            </w:r>
          </w:p>
        </w:tc>
        <w:tc>
          <w:tcPr>
            <w:tcW w:type="dxa" w:w="117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Clic a contacto</w:t>
            </w:r>
          </w:p>
        </w:tc>
        <w:tc>
          <w:tcPr>
            <w:tcW w:type="dxa" w:w="102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Contactos</w:t>
            </w:r>
          </w:p>
        </w:tc>
        <w:tc>
          <w:tcPr>
            <w:tcW w:type="dxa" w:w="125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CPA por contacto</w:t>
            </w:r>
          </w:p>
        </w:tc>
        <w:tc>
          <w:tcPr>
            <w:tcW w:type="dxa" w:w="117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Clientes (20 %)</w:t>
            </w:r>
          </w:p>
        </w:tc>
        <w:tc>
          <w:tcPr>
            <w:tcW w:type="dxa" w:w="117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CPA por cliente</w:t>
            </w:r>
          </w:p>
        </w:tc>
        <w:tc>
          <w:tcPr>
            <w:tcW w:type="dxa" w:w="251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ROAS del primer pedido (sin IGV)</w:t>
            </w:r>
          </w:p>
        </w:tc>
      </w:tr>
      <w:tr>
        <w:trPr>
          <w:tblHeader w:val="false"/>
        </w:trPr>
        <w:tc>
          <w:tcPr>
            <w:tcW w:type="dxa" w:w="10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Prudente</w:t>
            </w:r>
          </w:p>
        </w:tc>
        <w:tc>
          <w:tcPr>
            <w:tcW w:type="dxa" w:w="117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10 %</w:t>
            </w:r>
          </w:p>
        </w:tc>
        <w:tc>
          <w:tcPr>
            <w:tcW w:type="dxa" w:w="10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409</w:t>
            </w:r>
          </w:p>
        </w:tc>
        <w:tc>
          <w:tcPr>
            <w:tcW w:type="dxa" w:w="125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S/12.35</w:t>
            </w:r>
          </w:p>
        </w:tc>
        <w:tc>
          <w:tcPr>
            <w:tcW w:type="dxa" w:w="117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82</w:t>
            </w:r>
          </w:p>
        </w:tc>
        <w:tc>
          <w:tcPr>
            <w:tcW w:type="dxa" w:w="117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S/61.74</w:t>
            </w:r>
          </w:p>
        </w:tc>
        <w:tc>
          <w:tcPr>
            <w:tcW w:type="dxa" w:w="25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0.48</w:t>
            </w:r>
          </w:p>
        </w:tc>
      </w:tr>
      <w:tr>
        <w:trPr>
          <w:tblHeader w:val="false"/>
        </w:trPr>
        <w:tc>
          <w:tcPr>
            <w:tcW w:type="dxa" w:w="10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Base</w:t>
            </w:r>
          </w:p>
        </w:tc>
        <w:tc>
          <w:tcPr>
            <w:tcW w:type="dxa" w:w="117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15 %</w:t>
            </w:r>
          </w:p>
        </w:tc>
        <w:tc>
          <w:tcPr>
            <w:tcW w:type="dxa" w:w="10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613</w:t>
            </w:r>
          </w:p>
        </w:tc>
        <w:tc>
          <w:tcPr>
            <w:tcW w:type="dxa" w:w="125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S/8.23</w:t>
            </w:r>
          </w:p>
        </w:tc>
        <w:tc>
          <w:tcPr>
            <w:tcW w:type="dxa" w:w="117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123</w:t>
            </w:r>
          </w:p>
        </w:tc>
        <w:tc>
          <w:tcPr>
            <w:tcW w:type="dxa" w:w="117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S/41.16</w:t>
            </w:r>
          </w:p>
        </w:tc>
        <w:tc>
          <w:tcPr>
            <w:tcW w:type="dxa" w:w="25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0.72</w:t>
            </w:r>
          </w:p>
        </w:tc>
      </w:tr>
      <w:tr>
        <w:trPr>
          <w:tblHeader w:val="false"/>
        </w:trPr>
        <w:tc>
          <w:tcPr>
            <w:tcW w:type="dxa" w:w="10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Optimista</w:t>
            </w:r>
          </w:p>
        </w:tc>
        <w:tc>
          <w:tcPr>
            <w:tcW w:type="dxa" w:w="117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25 %</w:t>
            </w:r>
          </w:p>
        </w:tc>
        <w:tc>
          <w:tcPr>
            <w:tcW w:type="dxa" w:w="10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1,022</w:t>
            </w:r>
          </w:p>
        </w:tc>
        <w:tc>
          <w:tcPr>
            <w:tcW w:type="dxa" w:w="125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S/4.94</w:t>
            </w:r>
          </w:p>
        </w:tc>
        <w:tc>
          <w:tcPr>
            <w:tcW w:type="dxa" w:w="117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204</w:t>
            </w:r>
          </w:p>
        </w:tc>
        <w:tc>
          <w:tcPr>
            <w:tcW w:type="dxa" w:w="117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S/24.70</w:t>
            </w:r>
          </w:p>
        </w:tc>
        <w:tc>
          <w:tcPr>
            <w:tcW w:type="dxa" w:w="25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1.20</w:t>
            </w:r>
          </w:p>
        </w:tc>
      </w:tr>
    </w:tbl>
    <w:p>
      <w:pPr>
        <w:spacing w:after="80"/>
      </w:pPr>
    </w:p>
    <w:p>
      <w:pPr>
        <w:spacing w:after="120"/>
      </w:pPr>
      <w:r>
        <w:t xml:space="preserve">Con el CPM bajo del rango (US$3.00) la pauta da unas 491,000 impresiones; con el alto (US$4.60), unas 320,000.</w:t>
      </w:r>
    </w:p>
    <w:p>
      <w:pPr>
        <w:pStyle w:val="Heading2"/>
      </w:pPr>
      <w:r>
        <w:t xml:space="preserve">2.5 Tabla de métricas estimadas (resultado del prompt 4, revisado)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8"/>
        <w:gridCol w:w="2692"/>
        <w:gridCol w:w="3670"/>
      </w:tblGrid>
      <w:tr>
        <w:trPr>
          <w:tblHeader/>
        </w:trPr>
        <w:tc>
          <w:tcPr>
            <w:tcW w:type="dxa" w:w="299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Métrica estimada</w:t>
            </w:r>
          </w:p>
        </w:tc>
        <w:tc>
          <w:tcPr>
            <w:tcW w:type="dxa" w:w="269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Valor calculado</w:t>
            </w:r>
          </w:p>
        </w:tc>
        <w:tc>
          <w:tcPr>
            <w:tcW w:type="dxa" w:w="367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Interpretación</w:t>
            </w:r>
          </w:p>
        </w:tc>
      </w:tr>
      <w:tr>
        <w:trPr>
          <w:tblHeader w:val="false"/>
        </w:trPr>
        <w:tc>
          <w:tcPr>
            <w:tcW w:type="dxa" w:w="299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Impresiones de la pauta 2027</w:t>
            </w:r>
          </w:p>
        </w:tc>
        <w:tc>
          <w:tcPr>
            <w:tcW w:type="dxa" w:w="26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397,920 [ESTIMADO]</w:t>
            </w:r>
          </w:p>
        </w:tc>
        <w:tc>
          <w:tcPr>
            <w:tcW w:type="dxa" w:w="36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Es el número de veces que se muestran los anuncios a adultos de 30 a 45 años de Lima Top y Lima Moderna. Con S/5,050 en el año alcanzamos a una parte del público, no a todo; por eso la pauta apoya al stand y no lo reemplaza</w:t>
            </w:r>
          </w:p>
        </w:tc>
      </w:tr>
      <w:tr>
        <w:trPr>
          <w:tblHeader w:val="false"/>
        </w:trPr>
        <w:tc>
          <w:tcPr>
            <w:tcW w:type="dxa" w:w="299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Clics</w:t>
            </w:r>
          </w:p>
        </w:tc>
        <w:tc>
          <w:tcPr>
            <w:tcW w:type="dxa" w:w="269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4,090 [ESTIMADO]</w:t>
            </w:r>
          </w:p>
        </w:tc>
        <w:tc>
          <w:tcPr>
            <w:tcW w:type="dxa" w:w="367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Unos 340 clics al mes, un número realista para S/450 al mes</w:t>
            </w:r>
          </w:p>
        </w:tc>
      </w:tr>
      <w:tr>
        <w:trPr>
          <w:tblHeader w:val="false"/>
        </w:trPr>
        <w:tc>
          <w:tcPr>
            <w:tcW w:type="dxa" w:w="299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CTR</w:t>
            </w:r>
          </w:p>
        </w:tc>
        <w:tc>
          <w:tcPr>
            <w:tcW w:type="dxa" w:w="26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1.03 % [POR CONFIRMAR]</w:t>
            </w:r>
          </w:p>
        </w:tc>
        <w:tc>
          <w:tcPr>
            <w:tcW w:type="dxa" w:w="36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En la zona normal de Meta (cerca del promedio mundial). Si el anuncio sale por debajo de 0.8 %, se cambia el mensaje o la imagen</w:t>
            </w:r>
          </w:p>
        </w:tc>
      </w:tr>
      <w:tr>
        <w:trPr>
          <w:tblHeader w:val="false"/>
        </w:trPr>
        <w:tc>
          <w:tcPr>
            <w:tcW w:type="dxa" w:w="299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Contactos de WhatsApp por pauta</w:t>
            </w:r>
          </w:p>
        </w:tc>
        <w:tc>
          <w:tcPr>
            <w:tcW w:type="dxa" w:w="269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613 (rango 409 a 1,022) [ESTIMADO]</w:t>
            </w:r>
          </w:p>
        </w:tc>
        <w:tc>
          <w:tcPr>
            <w:tcW w:type="dxa" w:w="367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Son contactos extra: la meta de unos 2,300 contactos (2,338 al cierre, según el documento 10) se calculó con stands, ferias, eventos y embajadoras, sin contar la pauta</w:t>
            </w:r>
          </w:p>
        </w:tc>
      </w:tr>
      <w:tr>
        <w:trPr>
          <w:tblHeader w:val="false"/>
        </w:trPr>
        <w:tc>
          <w:tcPr>
            <w:tcW w:type="dxa" w:w="299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CPA por contacto</w:t>
            </w:r>
          </w:p>
        </w:tc>
        <w:tc>
          <w:tcPr>
            <w:tcW w:type="dxa" w:w="26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S/8.23 (rango S/4.94 a S/12.35) [ESTIMADO]</w:t>
            </w:r>
          </w:p>
        </w:tc>
        <w:tc>
          <w:tcPr>
            <w:tcW w:type="dxa" w:w="36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meta del documento 10 es S/5 o menos y el límite de alerta es S/8. En el escenario base estamos apenas por encima del límite; la meta de S/5 solo se logra si 1 de cada 4 clics deja su WhatsApp</w:t>
            </w:r>
          </w:p>
        </w:tc>
      </w:tr>
      <w:tr>
        <w:trPr>
          <w:tblHeader w:val="false"/>
        </w:trPr>
        <w:tc>
          <w:tcPr>
            <w:tcW w:type="dxa" w:w="299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Clientes nuevos por pauta</w:t>
            </w:r>
          </w:p>
        </w:tc>
        <w:tc>
          <w:tcPr>
            <w:tcW w:type="dxa" w:w="269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123 (rango 82 a 204) [ESTIMADO]</w:t>
            </w:r>
          </w:p>
        </w:tc>
        <w:tc>
          <w:tcPr>
            <w:tcW w:type="dxa" w:w="367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Supone que 1 de cada 5 contactos compra</w:t>
            </w:r>
          </w:p>
        </w:tc>
      </w:tr>
      <w:tr>
        <w:trPr>
          <w:tblHeader w:val="false"/>
        </w:trPr>
        <w:tc>
          <w:tcPr>
            <w:tcW w:type="dxa" w:w="299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CPA por cliente</w:t>
            </w:r>
          </w:p>
        </w:tc>
        <w:tc>
          <w:tcPr>
            <w:tcW w:type="dxa" w:w="26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S/41.16 (rango S/24.70 a S/61.74) [ESTIMADO]</w:t>
            </w:r>
          </w:p>
        </w:tc>
        <w:tc>
          <w:tcPr>
            <w:tcW w:type="dxa" w:w="36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Cuesta más que el valor de un pedido (S/35.10) y unas 4 veces lo que deja un pedido (S/10.45 de contribución). La pauta no se paga con el primer pedido</w:t>
            </w:r>
          </w:p>
        </w:tc>
      </w:tr>
      <w:tr>
        <w:trPr>
          <w:tblHeader w:val="false"/>
        </w:trPr>
        <w:tc>
          <w:tcPr>
            <w:tcW w:type="dxa" w:w="299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Ventas del primer pedido</w:t>
            </w:r>
          </w:p>
        </w:tc>
        <w:tc>
          <w:tcPr>
            <w:tcW w:type="dxa" w:w="269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S/4,307 con IGV (S/3,650 sin IGV) [ESTIMADO]</w:t>
            </w:r>
          </w:p>
        </w:tc>
        <w:tc>
          <w:tcPr>
            <w:tcW w:type="dxa" w:w="367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 solo el 1.8 % de las ventas de 2027 (244,728). La pauta no es el motor de las ventas: lo es el stand</w:t>
            </w:r>
          </w:p>
        </w:tc>
      </w:tr>
      <w:tr>
        <w:trPr>
          <w:tblHeader w:val="false"/>
        </w:trPr>
        <w:tc>
          <w:tcPr>
            <w:tcW w:type="dxa" w:w="299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ROAS de la pauta, primer pedido</w:t>
            </w:r>
          </w:p>
        </w:tc>
        <w:tc>
          <w:tcPr>
            <w:tcW w:type="dxa" w:w="26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0.72 (rango 0.48 a 1.20) [ESTIMADO]</w:t>
            </w:r>
          </w:p>
        </w:tc>
        <w:tc>
          <w:tcPr>
            <w:tcW w:type="dxa" w:w="36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Por cada S/1 de pauta vuelven S/0.72 en el primer pedido. Es normal en una marca nueva; el valor está en la recompra</w:t>
            </w:r>
          </w:p>
        </w:tc>
      </w:tr>
      <w:tr>
        <w:trPr>
          <w:tblHeader w:val="false"/>
        </w:trPr>
        <w:tc>
          <w:tcPr>
            <w:tcW w:type="dxa" w:w="299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Pedidos para recuperar el CPA por cliente</w:t>
            </w:r>
          </w:p>
        </w:tc>
        <w:tc>
          <w:tcPr>
            <w:tcW w:type="dxa" w:w="269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3.9 pedidos [ESTIMADO]</w:t>
            </w:r>
          </w:p>
        </w:tc>
        <w:tc>
          <w:tcPr>
            <w:tcW w:type="dxa" w:w="367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Con contribución de S/10.45 por pedido, el cliente tiene que comprar unas 4 veces para pagar su captación. En el escenario optimista bastan 2.4 pedidos (24.70 ÷ 10.45). Es la cifra que hay que medir primero con la recompra real</w:t>
            </w:r>
          </w:p>
        </w:tc>
      </w:tr>
      <w:tr>
        <w:trPr>
          <w:tblHeader w:val="false"/>
        </w:trPr>
        <w:tc>
          <w:tcPr>
            <w:tcW w:type="dxa" w:w="299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ROAS del marketing total (techo)</w:t>
            </w:r>
          </w:p>
        </w:tc>
        <w:tc>
          <w:tcPr>
            <w:tcW w:type="dxa" w:w="26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8.45 (207,397 ÷ 24,544)</w:t>
            </w:r>
          </w:p>
        </w:tc>
        <w:tc>
          <w:tcPr>
            <w:tcW w:type="dxa" w:w="36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Por cada S/1 de marketing hay S/8.45 de ventas sin IGV. Es un techo: atribuye todas las ventas al marketing</w:t>
            </w:r>
          </w:p>
        </w:tc>
      </w:tr>
      <w:tr>
        <w:trPr>
          <w:tblHeader w:val="false"/>
        </w:trPr>
        <w:tc>
          <w:tcPr>
            <w:tcW w:type="dxa" w:w="299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Marketing por brownie, 2027</w:t>
            </w:r>
          </w:p>
        </w:tc>
        <w:tc>
          <w:tcPr>
            <w:tcW w:type="dxa" w:w="269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S/0.44 (22,786 ÷ 52,331)</w:t>
            </w:r>
          </w:p>
        </w:tc>
        <w:tc>
          <w:tcPr>
            <w:tcW w:type="dxa" w:w="367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Frente a una contribución de S/1.09 por brownie después de los costos de stand (ver sección 3), el marketing usa cerca del 40 %</w:t>
            </w:r>
          </w:p>
        </w:tc>
      </w:tr>
      <w:tr>
        <w:trPr>
          <w:tblHeader w:val="false"/>
        </w:trPr>
        <w:tc>
          <w:tcPr>
            <w:tcW w:type="dxa" w:w="299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ROI del marketing (contribución, 100 % atribuida)</w:t>
            </w:r>
          </w:p>
        </w:tc>
        <w:tc>
          <w:tcPr>
            <w:tcW w:type="dxa" w:w="26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132 %</w:t>
            </w:r>
          </w:p>
        </w:tc>
        <w:tc>
          <w:tcPr>
            <w:tcW w:type="dxa" w:w="36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Ver sección 3</w:t>
            </w:r>
          </w:p>
        </w:tc>
      </w:tr>
    </w:tbl>
    <w:p>
      <w:pPr>
        <w:spacing w:after="80"/>
      </w:pPr>
    </w:p>
    <w:p>
      <w:pPr>
        <w:pStyle w:val="Heading2"/>
      </w:pPr>
      <w:r>
        <w:t xml:space="preserve">2.6 Cómo se revisó el resultado (uso crítico de la IA)</w:t>
      </w:r>
    </w:p>
    <w:p>
      <w:pPr>
        <w:spacing w:after="120"/>
      </w:pPr>
      <w:r>
        <w:t xml:space="preserve">Aplicamos el prompt 4 con los datos de la sección 2.1 y revisamos cada número de la respuesta. Qué se validó y qué se corrigió:</w:t>
      </w:r>
    </w:p>
    <w:p>
      <w:pPr>
        <w:pStyle w:val="ListParagraph"/>
        <w:numPr>
          <w:ilvl w:val="0"/>
          <w:numId w:val="2"/>
        </w:numPr>
        <w:spacing w:after="60"/>
      </w:pPr>
      <w:r>
        <w:rPr>
          <w:b/>
          <w:bCs/>
        </w:rPr>
        <w:t xml:space="preserve">Validado con el Excel:</w:t>
      </w:r>
      <w:r>
        <w:t xml:space="preserve"> el ticket de S/4.68 por brownie (244,728 ÷ 52,331 = 4.676) y los 7.5 brownies por pedido de WhatsApp (hoja Supuestos: 60 % packs de 6, 30 % packs de 12 y 10 % cajas de 3).</w:t>
      </w:r>
    </w:p>
    <w:p>
      <w:pPr>
        <w:pStyle w:val="ListParagraph"/>
        <w:numPr>
          <w:ilvl w:val="0"/>
          <w:numId w:val="2"/>
        </w:numPr>
        <w:spacing w:after="60"/>
      </w:pPr>
      <w:r>
        <w:rPr>
          <w:b/>
          <w:bCs/>
        </w:rPr>
        <w:t xml:space="preserve">Corregido, ventas con y sin IGV:</w:t>
      </w:r>
      <w:r>
        <w:t xml:space="preserve"> una respuesta típica de IA calcula el ROAS con el ticket con IGV. Lo pasamos a ventas sin IGV (÷ 1.18), porque el IGV no es ingreso del negocio.</w:t>
      </w:r>
    </w:p>
    <w:p>
      <w:pPr>
        <w:pStyle w:val="ListParagraph"/>
        <w:numPr>
          <w:ilvl w:val="0"/>
          <w:numId w:val="2"/>
        </w:numPr>
        <w:spacing w:after="60"/>
      </w:pPr>
      <w:r>
        <w:rPr>
          <w:b/>
          <w:bCs/>
        </w:rPr>
        <w:t xml:space="preserve">Corregido, ROAS de toda la venta contra la pauta:</w:t>
      </w:r>
      <w:r>
        <w:t xml:space="preserve"> una IA tiende a dividir las ventas totales entre la pauta y dar un ROAS de 40 o más (207,397 ÷ 5,050 = 41). Es engañoso, porque el 82 % de las ventas se hace en el stand, en colegios, ferias y naturistas. Por eso medimos la pauta solo con las ventas de los clientes que trajo (primer pedido), y el marketing total aparte.</w:t>
      </w:r>
    </w:p>
    <w:p>
      <w:pPr>
        <w:pStyle w:val="ListParagraph"/>
        <w:numPr>
          <w:ilvl w:val="0"/>
          <w:numId w:val="2"/>
        </w:numPr>
        <w:spacing w:after="60"/>
      </w:pPr>
      <w:r>
        <w:rPr>
          <w:b/>
          <w:bCs/>
        </w:rPr>
        <w:t xml:space="preserve">Corregido, benchmarks:</w:t>
      </w:r>
      <w:r>
        <w:t xml:space="preserve"> la IA suele dar CPC y CTR de Estados Unidos o del mundo (por ejemplo, CPC de US$1.72). Los reemplazamos por los de Perú con fuente y fecha, y marcamos como [POR CONFIRMAR] el CTR y la conversión, que no tienen dato peruano confiable.</w:t>
      </w:r>
    </w:p>
    <w:p>
      <w:pPr>
        <w:pStyle w:val="ListParagraph"/>
        <w:numPr>
          <w:ilvl w:val="0"/>
          <w:numId w:val="2"/>
        </w:numPr>
        <w:spacing w:after="60"/>
      </w:pPr>
      <w:r>
        <w:rPr>
          <w:b/>
          <w:bCs/>
        </w:rPr>
        <w:t xml:space="preserve">Hallazgo:</w:t>
      </w:r>
      <w:r>
        <w:t xml:space="preserve"> el CPA de S/8.23 es casi igual al límite de alerta del documento 10 (cambiar el anuncio si pasa de S/8 durante 2 meses). Es una señal para vigilar la pauta desde enero y mover soles a degustación si no rinde, sin cambiar el total del mes.</w:t>
      </w:r>
    </w:p>
    <w:p>
      <w:pPr>
        <w:pStyle w:val="ListParagraph"/>
        <w:numPr>
          <w:ilvl w:val="0"/>
          <w:numId w:val="2"/>
        </w:numPr>
        <w:spacing w:after="60"/>
      </w:pPr>
      <w:r>
        <w:rPr>
          <w:b/>
          <w:bCs/>
        </w:rPr>
        <w:t xml:space="preserve">Hallazgo, prelanzamiento:</w:t>
      </w:r>
      <w:r>
        <w:t xml:space="preserve"> la pauta de expectativa de S/600 daría unos 490 clics y 73 contactos (a 15 %), no los 100 de la meta (S/6.00 por contacto). Los otros unos 27 deben venir de Instagram orgánico y de los 40 influencers; con conversión de 20 % la pauta sola llega a 97.</w:t>
      </w:r>
    </w:p>
    <w:p>
      <w:pPr>
        <w:pStyle w:val="Heading2"/>
      </w:pPr>
      <w:r>
        <w:t xml:space="preserve">2.7 CPA por canal (con las metas del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92"/>
        <w:gridCol w:w="1867"/>
        <w:gridCol w:w="2356"/>
        <w:gridCol w:w="1378"/>
        <w:gridCol w:w="2667"/>
      </w:tblGrid>
      <w:tr>
        <w:trPr>
          <w:tblHeader/>
        </w:trPr>
        <w:tc>
          <w:tcPr>
            <w:tcW w:type="dxa" w:w="109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Canal</w:t>
            </w:r>
          </w:p>
        </w:tc>
        <w:tc>
          <w:tcPr>
            <w:tcW w:type="dxa" w:w="186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Costo</w:t>
            </w:r>
          </w:p>
        </w:tc>
        <w:tc>
          <w:tcPr>
            <w:tcW w:type="dxa" w:w="235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Resultado de la meta</w:t>
            </w:r>
          </w:p>
        </w:tc>
        <w:tc>
          <w:tcPr>
            <w:tcW w:type="dxa" w:w="137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CPA</w:t>
            </w:r>
          </w:p>
        </w:tc>
        <w:tc>
          <w:tcPr>
            <w:tcW w:type="dxa" w:w="266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Lectura</w:t>
            </w:r>
          </w:p>
        </w:tc>
      </w:tr>
      <w:tr>
        <w:trPr>
          <w:tblHeader w:val="false"/>
        </w:trPr>
        <w:tc>
          <w:tcPr>
            <w:tcW w:type="dxa" w:w="10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Mamás embajadoras</w:t>
            </w:r>
          </w:p>
        </w:tc>
        <w:tc>
          <w:tcPr>
            <w:tcW w:type="dxa" w:w="1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S/2,400</w:t>
            </w:r>
          </w:p>
        </w:tc>
        <w:tc>
          <w:tcPr>
            <w:tcW w:type="dxa" w:w="23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230 familias nuevas</w:t>
            </w:r>
          </w:p>
        </w:tc>
        <w:tc>
          <w:tcPr>
            <w:tcW w:type="dxa" w:w="137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S/10.43 por familia</w:t>
            </w:r>
          </w:p>
        </w:tc>
        <w:tc>
          <w:tcPr>
            <w:tcW w:type="dxa" w:w="26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Es el canal más barato por cliente nuevo y viene con recomendación</w:t>
            </w:r>
          </w:p>
        </w:tc>
      </w:tr>
      <w:tr>
        <w:trPr>
          <w:tblHeader w:val="false"/>
        </w:trPr>
        <w:tc>
          <w:tcPr>
            <w:tcW w:type="dxa" w:w="109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Muestras de lanzamiento</w:t>
            </w:r>
          </w:p>
        </w:tc>
        <w:tc>
          <w:tcPr>
            <w:tcW w:type="dxa" w:w="18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S/1,146 por 600 muestras (S/1.91 cada una)</w:t>
            </w:r>
          </w:p>
        </w:tc>
        <w:tc>
          <w:tcPr>
            <w:tcW w:type="dxa" w:w="235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 de cada 3 padres que prueba compra [META PROPUESTA]</w:t>
            </w:r>
          </w:p>
        </w:tc>
        <w:tc>
          <w:tcPr>
            <w:tcW w:type="dxa" w:w="137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S/5.73 por comprador (1.91 × 3)</w:t>
            </w:r>
          </w:p>
        </w:tc>
        <w:tc>
          <w:tcPr>
            <w:tcW w:type="dxa" w:w="26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Barato; hay que medir si compra de verdad</w:t>
            </w:r>
          </w:p>
        </w:tc>
      </w:tr>
      <w:tr>
        <w:trPr>
          <w:tblHeader w:val="false"/>
        </w:trPr>
        <w:tc>
          <w:tcPr>
            <w:tcW w:type="dxa" w:w="10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Evento sin costo</w:t>
            </w:r>
          </w:p>
        </w:tc>
        <w:tc>
          <w:tcPr>
            <w:tcW w:type="dxa" w:w="1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S/160</w:t>
            </w:r>
          </w:p>
        </w:tc>
        <w:tc>
          <w:tcPr>
            <w:tcW w:type="dxa" w:w="23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150 brownies y 10 contactos</w:t>
            </w:r>
          </w:p>
        </w:tc>
        <w:tc>
          <w:tcPr>
            <w:tcW w:type="dxa" w:w="137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S/16 por contacto</w:t>
            </w:r>
          </w:p>
        </w:tc>
        <w:tc>
          <w:tcPr>
            <w:tcW w:type="dxa" w:w="26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contribución de 150 brownies (150 × S/2.52 = S/379) paga el evento con holgura</w:t>
            </w:r>
          </w:p>
        </w:tc>
      </w:tr>
      <w:tr>
        <w:trPr>
          <w:tblHeader w:val="false"/>
        </w:trPr>
        <w:tc>
          <w:tcPr>
            <w:tcW w:type="dxa" w:w="109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Feria pagada</w:t>
            </w:r>
          </w:p>
        </w:tc>
        <w:tc>
          <w:tcPr>
            <w:tcW w:type="dxa" w:w="18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S/2,070</w:t>
            </w:r>
          </w:p>
        </w:tc>
        <w:tc>
          <w:tcPr>
            <w:tcW w:type="dxa" w:w="235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700 brownies y 50 contactos</w:t>
            </w:r>
          </w:p>
        </w:tc>
        <w:tc>
          <w:tcPr>
            <w:tcW w:type="dxa" w:w="137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S/41.40 por contacto</w:t>
            </w:r>
          </w:p>
        </w:tc>
        <w:tc>
          <w:tcPr>
            <w:tcW w:type="dxa" w:w="26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 contribución de 700 brownies (700 × S/2.52 = S/1,766) no cubre los S/2,070 (faltan S/304). Se justifica solo por los 50 contactos y por la regla 7: si no cumple, no se repite</w:t>
            </w:r>
          </w:p>
        </w:tc>
      </w:tr>
      <w:tr>
        <w:trPr>
          <w:tblHeader w:val="false"/>
        </w:trPr>
        <w:tc>
          <w:tcPr>
            <w:tcW w:type="dxa" w:w="109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Pauta en Meta</w:t>
            </w:r>
          </w:p>
        </w:tc>
        <w:tc>
          <w:tcPr>
            <w:tcW w:type="dxa" w:w="1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S/5,050</w:t>
            </w:r>
          </w:p>
        </w:tc>
        <w:tc>
          <w:tcPr>
            <w:tcW w:type="dxa" w:w="235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613 contactos</w:t>
            </w:r>
          </w:p>
        </w:tc>
        <w:tc>
          <w:tcPr>
            <w:tcW w:type="dxa" w:w="137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S/8.23 por contacto</w:t>
            </w:r>
          </w:p>
        </w:tc>
        <w:tc>
          <w:tcPr>
            <w:tcW w:type="dxa" w:w="26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Ver sección 2.5</w:t>
            </w:r>
          </w:p>
        </w:tc>
      </w:tr>
    </w:tbl>
    <w:p>
      <w:pPr>
        <w:spacing w:after="80"/>
      </w:pPr>
    </w:p>
    <w:p>
      <w:pPr>
        <w:pBdr>
          <w:bottom w:val="single" w:color="BA4036" w:sz="6" w:space="1"/>
        </w:pBdr>
        <w:spacing w:after="160"/>
      </w:pPr>
    </w:p>
    <w:p>
      <w:pPr>
        <w:pStyle w:val="Heading1"/>
      </w:pPr>
      <w:r>
        <w:t xml:space="preserve">3. ROI del marketing</w:t>
      </w:r>
    </w:p>
    <w:p>
      <w:pPr>
        <w:spacing w:after="120"/>
      </w:pPr>
      <w:r>
        <w:rPr>
          <w:b/>
          <w:bCs/>
        </w:rPr>
        <w:t xml:space="preserve">Pregunta:</w:t>
      </w:r>
      <w:r>
        <w:t xml:space="preserve"> ¿cuánto dinero deja el marketing frente a los S/24,544 que cuesta?</w:t>
      </w:r>
    </w:p>
    <w:p>
      <w:pPr>
        <w:pStyle w:val="Heading2"/>
      </w:pPr>
      <w:r>
        <w:t xml:space="preserve">3.1 Datos del Excel v7 (año 1, 2027, sin IGV, opción B de pack de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74"/>
        <w:gridCol w:w="1086"/>
      </w:tblGrid>
      <w:tr>
        <w:trPr>
          <w:tblHeader/>
        </w:trPr>
        <w:tc>
          <w:tcPr>
            <w:tcW w:type="dxa" w:w="827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Concepto</w:t>
            </w:r>
          </w:p>
        </w:tc>
        <w:tc>
          <w:tcPr>
            <w:tcW w:type="dxa" w:w="108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w:t>
            </w:r>
          </w:p>
        </w:tc>
      </w:tr>
      <w:tr>
        <w:trPr>
          <w:tblHeader w:val="false"/>
        </w:trPr>
        <w:tc>
          <w:tcPr>
            <w:tcW w:type="dxa" w:w="827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Ventas sin IGV</w:t>
            </w:r>
          </w:p>
        </w:tc>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207,397</w:t>
            </w:r>
          </w:p>
        </w:tc>
      </w:tr>
      <w:tr>
        <w:trPr>
          <w:tblHeader w:val="false"/>
        </w:trPr>
        <w:tc>
          <w:tcPr>
            <w:tcW w:type="dxa" w:w="827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Contribución (ventas sin IGV menos producción y costos variables de canal)</w:t>
            </w:r>
          </w:p>
        </w:tc>
        <w:tc>
          <w:tcPr>
            <w:tcW w:type="dxa" w:w="10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97,294</w:t>
            </w:r>
          </w:p>
        </w:tc>
      </w:tr>
      <w:tr>
        <w:trPr>
          <w:tblHeader w:val="false"/>
        </w:trPr>
        <w:tc>
          <w:tcPr>
            <w:tcW w:type="dxa" w:w="827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Espacio de stands (S/600 por punto al mes)</w:t>
            </w:r>
          </w:p>
        </w:tc>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16,800</w:t>
            </w:r>
          </w:p>
        </w:tc>
      </w:tr>
      <w:tr>
        <w:trPr>
          <w:tblHeader w:val="false"/>
        </w:trPr>
        <w:tc>
          <w:tcPr>
            <w:tcW w:type="dxa" w:w="827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Vendedores de stand (S/90 por día)</w:t>
            </w:r>
          </w:p>
        </w:tc>
        <w:tc>
          <w:tcPr>
            <w:tcW w:type="dxa" w:w="10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23,670</w:t>
            </w:r>
          </w:p>
        </w:tc>
      </w:tr>
      <w:tr>
        <w:trPr>
          <w:tblHeader w:val="false"/>
        </w:trPr>
        <w:tc>
          <w:tcPr>
            <w:tcW w:type="dxa" w:w="827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Contribución después del costo de vender en los stands, antes de marketing</w:t>
            </w:r>
          </w:p>
        </w:tc>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56,824</w:t>
            </w:r>
          </w:p>
        </w:tc>
      </w:tr>
      <w:tr>
        <w:trPr>
          <w:tblHeader w:val="false"/>
        </w:trPr>
        <w:tc>
          <w:tcPr>
            <w:tcW w:type="dxa" w:w="827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Marketing total del plan (octubre de 2026 a diciembre de 2027)</w:t>
            </w:r>
          </w:p>
        </w:tc>
        <w:tc>
          <w:tcPr>
            <w:tcW w:type="dxa" w:w="10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24,544</w:t>
            </w:r>
          </w:p>
        </w:tc>
      </w:tr>
    </w:tbl>
    <w:p>
      <w:pPr>
        <w:spacing w:after="80"/>
      </w:pPr>
    </w:p>
    <w:p>
      <w:pPr>
        <w:spacing w:after="120"/>
      </w:pPr>
      <w:r>
        <w:t xml:space="preserve">Fórmula: 97,294 − 16,800 − 23,670 = </w:t>
      </w:r>
      <w:r>
        <w:rPr>
          <w:b/>
          <w:bCs/>
        </w:rPr>
        <w:t xml:space="preserve">56,824</w:t>
      </w:r>
      <w:r>
        <w:t xml:space="preserve">. Se descuentan el espacio y los vendedores de stand porque son el costo de vender y no son marketing. Las ferias y los eventos no se descuentan aquí, porque ya están dentro de los S/24,544.</w:t>
      </w:r>
    </w:p>
    <w:p>
      <w:pPr>
        <w:pStyle w:val="Heading2"/>
      </w:pPr>
      <w:r>
        <w:t xml:space="preserve">3.2 ROI por escenario de atribución</w:t>
      </w:r>
    </w:p>
    <w:p>
      <w:pPr>
        <w:spacing w:after="120"/>
      </w:pPr>
      <w:r>
        <w:t xml:space="preserve">Fórmula: </w:t>
      </w:r>
      <w:r>
        <w:rPr>
          <w:b/>
          <w:bCs/>
        </w:rPr>
        <w:t xml:space="preserve">ROI = (contribución atribuida al marketing − inversión de marketing) ÷ inversión de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51"/>
        <w:gridCol w:w="1870"/>
        <w:gridCol w:w="2210"/>
        <w:gridCol w:w="1029"/>
      </w:tblGrid>
      <w:tr>
        <w:trPr>
          <w:tblHeader/>
        </w:trPr>
        <w:tc>
          <w:tcPr>
            <w:tcW w:type="dxa" w:w="425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Escenario</w:t>
            </w:r>
          </w:p>
        </w:tc>
        <w:tc>
          <w:tcPr>
            <w:tcW w:type="dxa" w:w="187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Contribución atribuida</w:t>
            </w:r>
          </w:p>
        </w:tc>
        <w:tc>
          <w:tcPr>
            <w:tcW w:type="dxa" w:w="221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Cálculo</w:t>
            </w:r>
          </w:p>
        </w:tc>
        <w:tc>
          <w:tcPr>
            <w:tcW w:type="dxa" w:w="102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ROI</w:t>
            </w:r>
          </w:p>
        </w:tc>
      </w:tr>
      <w:tr>
        <w:trPr>
          <w:tblHeader w:val="false"/>
        </w:trPr>
        <w:tc>
          <w:tcPr>
            <w:tcW w:type="dxa" w:w="425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Todo lo vendido lo explica el marketing (techo)</w:t>
            </w:r>
          </w:p>
        </w:tc>
        <w:tc>
          <w:tcPr>
            <w:tcW w:type="dxa" w:w="18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56,824</w:t>
            </w:r>
          </w:p>
        </w:tc>
        <w:tc>
          <w:tcPr>
            <w:tcW w:type="dxa" w:w="221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(56,824 − 24,544) ÷ 24,544</w:t>
            </w:r>
          </w:p>
        </w:tc>
        <w:tc>
          <w:tcPr>
            <w:tcW w:type="dxa" w:w="102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132 %</w:t>
            </w:r>
          </w:p>
        </w:tc>
      </w:tr>
      <w:tr>
        <w:trPr>
          <w:tblHeader w:val="false"/>
        </w:trPr>
        <w:tc>
          <w:tcPr>
            <w:tcW w:type="dxa" w:w="425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 El marketing explica el 75 %</w:t>
            </w:r>
          </w:p>
        </w:tc>
        <w:tc>
          <w:tcPr>
            <w:tcW w:type="dxa" w:w="187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42,618</w:t>
            </w:r>
          </w:p>
        </w:tc>
        <w:tc>
          <w:tcPr>
            <w:tcW w:type="dxa" w:w="221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(42,618 − 24,544) ÷ 24,544</w:t>
            </w:r>
          </w:p>
        </w:tc>
        <w:tc>
          <w:tcPr>
            <w:tcW w:type="dxa" w:w="102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74 %</w:t>
            </w:r>
          </w:p>
        </w:tc>
      </w:tr>
      <w:tr>
        <w:trPr>
          <w:tblHeader w:val="false"/>
        </w:trPr>
        <w:tc>
          <w:tcPr>
            <w:tcW w:type="dxa" w:w="425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 El marketing explica el 50 %</w:t>
            </w:r>
          </w:p>
        </w:tc>
        <w:tc>
          <w:tcPr>
            <w:tcW w:type="dxa" w:w="187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28,412</w:t>
            </w:r>
          </w:p>
        </w:tc>
        <w:tc>
          <w:tcPr>
            <w:tcW w:type="dxa" w:w="221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(28,412 − 24,544) ÷ 24,544</w:t>
            </w:r>
          </w:p>
        </w:tc>
        <w:tc>
          <w:tcPr>
            <w:tcW w:type="dxa" w:w="102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16 %</w:t>
            </w:r>
          </w:p>
        </w:tc>
      </w:tr>
      <w:tr>
        <w:trPr>
          <w:tblHeader w:val="false"/>
        </w:trPr>
        <w:tc>
          <w:tcPr>
            <w:tcW w:type="dxa" w:w="425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Punto de equilibrio</w:t>
            </w:r>
          </w:p>
        </w:tc>
        <w:tc>
          <w:tcPr>
            <w:tcW w:type="dxa" w:w="187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24,544</w:t>
            </w:r>
          </w:p>
        </w:tc>
        <w:tc>
          <w:tcPr>
            <w:tcW w:type="dxa" w:w="221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24,544 ÷ 56,824 = 43.2 %</w:t>
            </w:r>
          </w:p>
        </w:tc>
        <w:tc>
          <w:tcPr>
            <w:tcW w:type="dxa" w:w="102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0 %</w:t>
            </w:r>
          </w:p>
        </w:tc>
      </w:tr>
    </w:tbl>
    <w:p>
      <w:pPr>
        <w:spacing w:after="80"/>
      </w:pPr>
    </w:p>
    <w:p>
      <w:pPr>
        <w:spacing w:after="120"/>
      </w:pPr>
      <w:r>
        <w:rPr>
          <w:b/>
          <w:bCs/>
        </w:rPr>
        <w:t xml:space="preserve">Lectura.</w:t>
      </w:r>
      <w:r>
        <w:t xml:space="preserve"> Con el plan del Excel, el marketing se paga si explica al menos </w:t>
      </w:r>
      <w:r>
        <w:rPr>
          <w:b/>
          <w:bCs/>
        </w:rPr>
        <w:t xml:space="preserve">43 %</w:t>
      </w:r>
      <w:r>
        <w:t xml:space="preserve"> de la contribución (S/0.43 de cada sol). En escenarios más exigentes sigue ganando: con 50 % de atribución el ROI es de 16 %. Como el negocio es de venta física con vendedor, una parte de las ventas ocurriría sin marketing; por eso el escenario B o C es más honesto que el A.</w:t>
      </w:r>
    </w:p>
    <w:p>
      <w:pPr>
        <w:pStyle w:val="Heading2"/>
      </w:pPr>
      <w:r>
        <w:t xml:space="preserve">3.3 Vista más exigente: después de los demás costos fijos</w:t>
      </w:r>
    </w:p>
    <w:p>
      <w:pPr>
        <w:spacing w:after="120"/>
      </w:pPr>
      <w:r>
        <w:t xml:space="preserve">Si se descuentan también los costos fijos que no son de marketing (coordinadora, administración, app y otros: S/32,861 − S/10,800 de marketing fijo = S/22,061), queda:</w:t>
      </w:r>
    </w:p>
    <w:p>
      <w:pPr>
        <w:pStyle w:val="ListParagraph"/>
        <w:numPr>
          <w:ilvl w:val="0"/>
          <w:numId w:val="2"/>
        </w:numPr>
        <w:spacing w:after="60"/>
      </w:pPr>
      <w:r>
        <w:t xml:space="preserve">Resultado operativo del Excel v7: S/13,423.</w:t>
      </w:r>
    </w:p>
    <w:p>
      <w:pPr>
        <w:pStyle w:val="ListParagraph"/>
        <w:numPr>
          <w:ilvl w:val="0"/>
          <w:numId w:val="2"/>
        </w:numPr>
        <w:spacing w:after="60"/>
      </w:pPr>
      <w:r>
        <w:t xml:space="preserve">Marketing que ya está restado en ese resultado: S/10,800 (fijo) + S/10,540 (ferias S/4,140 y eventos S/6,400) = S/21,340.</w:t>
      </w:r>
    </w:p>
    <w:p>
      <w:pPr>
        <w:pStyle w:val="ListParagraph"/>
        <w:numPr>
          <w:ilvl w:val="0"/>
          <w:numId w:val="2"/>
        </w:numPr>
        <w:spacing w:after="60"/>
      </w:pPr>
      <w:r>
        <w:t xml:space="preserve">Resultado antes del marketing: 13,423 + 21,340 = </w:t>
      </w:r>
      <w:r>
        <w:rPr>
          <w:b/>
          <w:bCs/>
        </w:rPr>
        <w:t xml:space="preserve">S/34,763</w:t>
      </w:r>
      <w:r>
        <w:t xml:space="preserve">. El lanzamiento (S/3,204) está en la inversión inicial y no estaba restado en el resultado operativo, así que se compara contra los S/24,544 completos.</w:t>
      </w:r>
    </w:p>
    <w:p>
      <w:pPr>
        <w:pStyle w:val="ListParagraph"/>
        <w:numPr>
          <w:ilvl w:val="0"/>
          <w:numId w:val="2"/>
        </w:numPr>
        <w:spacing w:after="60"/>
      </w:pPr>
      <w:r>
        <w:t xml:space="preserve">ROI = (34,763 − 24,544) ÷ 24,544 = </w:t>
      </w:r>
      <w:r>
        <w:rPr>
          <w:b/>
          <w:bCs/>
        </w:rPr>
        <w:t xml:space="preserve">42 %</w:t>
      </w:r>
      <w:r>
        <w:t xml:space="preserve">.</w:t>
      </w:r>
    </w:p>
    <w:p>
      <w:pPr>
        <w:spacing w:after="120"/>
      </w:pPr>
      <w:r>
        <w:t xml:space="preserve">Esta vista asigna al marketing toda la ganancia que queda después de pagar el resto del negocio. Es un piso razonable del retorno si el 100 % de las ventas depende del marketing.</w:t>
      </w:r>
    </w:p>
    <w:p>
      <w:pPr>
        <w:pStyle w:val="Heading2"/>
      </w:pPr>
      <w:r>
        <w:t xml:space="preserve">3.4 Resumen del retorno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75"/>
        <w:gridCol w:w="2102"/>
        <w:gridCol w:w="1035"/>
        <w:gridCol w:w="2748"/>
      </w:tblGrid>
      <w:tr>
        <w:trPr>
          <w:tblHeader/>
        </w:trPr>
        <w:tc>
          <w:tcPr>
            <w:tcW w:type="dxa" w:w="347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Indicador</w:t>
            </w:r>
          </w:p>
        </w:tc>
        <w:tc>
          <w:tcPr>
            <w:tcW w:type="dxa" w:w="210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Fórmula</w:t>
            </w:r>
          </w:p>
        </w:tc>
        <w:tc>
          <w:tcPr>
            <w:tcW w:type="dxa" w:w="103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Valor</w:t>
            </w:r>
          </w:p>
        </w:tc>
        <w:tc>
          <w:tcPr>
            <w:tcW w:type="dxa" w:w="274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¿Dato o estimado?</w:t>
            </w:r>
          </w:p>
        </w:tc>
      </w:tr>
      <w:tr>
        <w:trPr>
          <w:tblHeader w:val="false"/>
        </w:trPr>
        <w:tc>
          <w:tcPr>
            <w:tcW w:type="dxa" w:w="34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Marketing por brownie (2027)</w:t>
            </w:r>
          </w:p>
        </w:tc>
        <w:tc>
          <w:tcPr>
            <w:tcW w:type="dxa" w:w="210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22,786 ÷ 52,331</w:t>
            </w:r>
          </w:p>
        </w:tc>
        <w:tc>
          <w:tcPr>
            <w:tcW w:type="dxa" w:w="103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S/0.44</w:t>
            </w:r>
          </w:p>
        </w:tc>
        <w:tc>
          <w:tcPr>
            <w:tcW w:type="dxa" w:w="274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Dato del plan</w:t>
            </w:r>
          </w:p>
        </w:tc>
      </w:tr>
      <w:tr>
        <w:trPr>
          <w:tblHeader w:val="false"/>
        </w:trPr>
        <w:tc>
          <w:tcPr>
            <w:tcW w:type="dxa" w:w="34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Contribución por brownie antes de marketing</w:t>
            </w:r>
          </w:p>
        </w:tc>
        <w:tc>
          <w:tcPr>
            <w:tcW w:type="dxa" w:w="210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56,824 ÷ 52,331</w:t>
            </w:r>
          </w:p>
        </w:tc>
        <w:tc>
          <w:tcPr>
            <w:tcW w:type="dxa" w:w="103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S/1.09</w:t>
            </w:r>
          </w:p>
        </w:tc>
        <w:tc>
          <w:tcPr>
            <w:tcW w:type="dxa" w:w="274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Dato del Excel v7</w:t>
            </w:r>
          </w:p>
        </w:tc>
      </w:tr>
      <w:tr>
        <w:trPr>
          <w:tblHeader w:val="false"/>
        </w:trPr>
        <w:tc>
          <w:tcPr>
            <w:tcW w:type="dxa" w:w="34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ROAS total, ventas sin IGV</w:t>
            </w:r>
          </w:p>
        </w:tc>
        <w:tc>
          <w:tcPr>
            <w:tcW w:type="dxa" w:w="210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207,397 ÷ 24,544</w:t>
            </w:r>
          </w:p>
        </w:tc>
        <w:tc>
          <w:tcPr>
            <w:tcW w:type="dxa" w:w="103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8.45</w:t>
            </w:r>
          </w:p>
        </w:tc>
        <w:tc>
          <w:tcPr>
            <w:tcW w:type="dxa" w:w="274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Techo (atribuye todo al marketing)</w:t>
            </w:r>
          </w:p>
        </w:tc>
      </w:tr>
      <w:tr>
        <w:trPr>
          <w:tblHeader w:val="false"/>
        </w:trPr>
        <w:tc>
          <w:tcPr>
            <w:tcW w:type="dxa" w:w="34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ROI, contribución, 100 % atribuida</w:t>
            </w:r>
          </w:p>
        </w:tc>
        <w:tc>
          <w:tcPr>
            <w:tcW w:type="dxa" w:w="210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(56,824 − 24,544) ÷ 24,544</w:t>
            </w:r>
          </w:p>
        </w:tc>
        <w:tc>
          <w:tcPr>
            <w:tcW w:type="dxa" w:w="103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132 %</w:t>
            </w:r>
          </w:p>
        </w:tc>
        <w:tc>
          <w:tcPr>
            <w:tcW w:type="dxa" w:w="274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Estimado</w:t>
            </w:r>
          </w:p>
        </w:tc>
      </w:tr>
      <w:tr>
        <w:trPr>
          <w:tblHeader w:val="false"/>
        </w:trPr>
        <w:tc>
          <w:tcPr>
            <w:tcW w:type="dxa" w:w="34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ROI, después de otros costos fijos</w:t>
            </w:r>
          </w:p>
        </w:tc>
        <w:tc>
          <w:tcPr>
            <w:tcW w:type="dxa" w:w="210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(34,763 − 24,544) ÷ 24,544</w:t>
            </w:r>
          </w:p>
        </w:tc>
        <w:tc>
          <w:tcPr>
            <w:tcW w:type="dxa" w:w="103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42 %</w:t>
            </w:r>
          </w:p>
        </w:tc>
        <w:tc>
          <w:tcPr>
            <w:tcW w:type="dxa" w:w="274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Estimado</w:t>
            </w:r>
          </w:p>
        </w:tc>
      </w:tr>
      <w:tr>
        <w:trPr>
          <w:tblHeader w:val="false"/>
        </w:trPr>
        <w:tc>
          <w:tcPr>
            <w:tcW w:type="dxa" w:w="34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Atribución mínima para no perder</w:t>
            </w:r>
          </w:p>
        </w:tc>
        <w:tc>
          <w:tcPr>
            <w:tcW w:type="dxa" w:w="210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24,544 ÷ 56,824</w:t>
            </w:r>
          </w:p>
        </w:tc>
        <w:tc>
          <w:tcPr>
            <w:tcW w:type="dxa" w:w="103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43 %</w:t>
            </w:r>
          </w:p>
        </w:tc>
        <w:tc>
          <w:tcPr>
            <w:tcW w:type="dxa" w:w="274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Estimado</w:t>
            </w:r>
          </w:p>
        </w:tc>
      </w:tr>
    </w:tbl>
    <w:p>
      <w:pPr>
        <w:spacing w:after="80"/>
      </w:pPr>
    </w:p>
    <w:p>
      <w:pPr>
        <w:pStyle w:val="Heading2"/>
      </w:pPr>
      <w:r>
        <w:t xml:space="preserve">3.5 Qué hay que confirmar</w:t>
      </w:r>
    </w:p>
    <w:p>
      <w:pPr>
        <w:pStyle w:val="ListParagraph"/>
        <w:numPr>
          <w:ilvl w:val="0"/>
          <w:numId w:val="2"/>
        </w:numPr>
        <w:spacing w:after="60"/>
      </w:pPr>
      <w:r>
        <w:t xml:space="preserve">Las ventas (52,331 brownies) son la meta del Excel v7; si se vende 20 % menos, la contribución baja de 97,294 a 77,835 y, con los mismos costos de stand (40,470), queda en 37,365. El ROI del escenario A cae a (37,365 − 24,544) ÷ 24,544 = </w:t>
      </w:r>
      <w:r>
        <w:rPr>
          <w:b/>
          <w:bCs/>
        </w:rPr>
        <w:t xml:space="preserve">52 %</w:t>
      </w:r>
      <w:r>
        <w:t xml:space="preserve"> [ESTIMADO, supone que el costo de stand no baja].</w:t>
      </w:r>
    </w:p>
    <w:p>
      <w:pPr>
        <w:pStyle w:val="ListParagraph"/>
        <w:numPr>
          <w:ilvl w:val="0"/>
          <w:numId w:val="2"/>
        </w:numPr>
        <w:spacing w:after="60"/>
      </w:pPr>
      <w:r>
        <w:t xml:space="preserve">CTR y conversión de clic a contacto: [POR CONFIRMAR] con Ads Manager. El tipo de cambio (S/3.43) se actualiza con el BCRP al cierre de 2026.</w:t>
      </w:r>
    </w:p>
    <w:p>
      <w:pPr>
        <w:pStyle w:val="ListParagraph"/>
        <w:numPr>
          <w:ilvl w:val="0"/>
          <w:numId w:val="2"/>
        </w:numPr>
        <w:spacing w:after="60"/>
      </w:pPr>
      <w:r>
        <w:t xml:space="preserve">Cuánto de la venta explica el marketing: hay que medirlo con códigos de embajadora, contactos de WhatsApp y encuesta "¿cómo nos conociste?" en el stand [PROPUESTA].</w:t>
      </w:r>
    </w:p>
    <w:p>
      <w:pPr>
        <w:pBdr>
          <w:bottom w:val="single" w:color="BA4036" w:sz="6" w:space="1"/>
        </w:pBdr>
        <w:spacing w:after="160"/>
      </w:pPr>
    </w:p>
    <w:p>
      <w:pPr>
        <w:pStyle w:val="Heading1"/>
      </w:pPr>
      <w:r>
        <w:t xml:space="preserve">Fuentes</w:t>
      </w:r>
    </w:p>
    <w:p>
      <w:pPr>
        <w:pStyle w:val="ListParagraph"/>
        <w:numPr>
          <w:ilvl w:val="0"/>
          <w:numId w:val="2"/>
        </w:numPr>
        <w:spacing w:after="60"/>
      </w:pPr>
      <w:r>
        <w:t xml:space="preserve">Clase: </w:t>
      </w:r>
      <w:r>
        <w:rPr>
          <w:rFonts w:ascii="Consolas" w:cs="Consolas" w:eastAsia="Consolas" w:hAnsi="Consolas"/>
          <w:color w:val="4A2018"/>
          <w:sz w:val="19"/>
          <w:szCs w:val="19"/>
        </w:rPr>
        <w:t xml:space="preserve">04-reformulacion/T2/CLASE-sesion09.md</w:t>
      </w:r>
      <w:r>
        <w:t xml:space="preserve"> (prompt 4) y "PPT Sesión 09 - docente" (Drive del equipo, 19-oct-2026). https://drive.google.com/file/d/1RNH7qdIlWUlkhPu4oRH82yNQj-qAZaVf/view</w:t>
      </w:r>
    </w:p>
    <w:p>
      <w:pPr>
        <w:pStyle w:val="ListParagraph"/>
        <w:numPr>
          <w:ilvl w:val="0"/>
          <w:numId w:val="2"/>
        </w:numPr>
        <w:spacing w:after="60"/>
      </w:pPr>
      <w:r>
        <w:rPr>
          <w:rFonts w:ascii="Consolas" w:cs="Consolas" w:eastAsia="Consolas" w:hAnsi="Consolas"/>
          <w:color w:val="4A2018"/>
          <w:sz w:val="19"/>
          <w:szCs w:val="19"/>
        </w:rPr>
        <w:t xml:space="preserve">04-reformulacion/Presupuesto-marketing-AndiBite.xlsx</w:t>
      </w:r>
      <w:r>
        <w:t xml:space="preserve"> (hoja "Presupuesto de marketing") y </w:t>
      </w:r>
      <w:r>
        <w:rPr>
          <w:rFonts w:ascii="Consolas" w:cs="Consolas" w:eastAsia="Consolas" w:hAnsi="Consolas"/>
          <w:color w:val="4A2018"/>
          <w:sz w:val="19"/>
          <w:szCs w:val="19"/>
        </w:rPr>
        <w:t xml:space="preserve">04-reformulacion/Costeo-presentaciones-AndiBite.xlsx</w:t>
      </w:r>
      <w:r>
        <w:t xml:space="preserve"> (hojas Supuestos, Proyeccion, Mensual y Resumen, modelo v7). HECHOS_v7 del 19-oct-2026 y documento 10, secciones 6.1, 6.3 y 8.</w:t>
      </w:r>
    </w:p>
    <w:p>
      <w:pPr>
        <w:pStyle w:val="ListParagraph"/>
        <w:numPr>
          <w:ilvl w:val="0"/>
          <w:numId w:val="2"/>
        </w:numPr>
        <w:spacing w:after="60"/>
      </w:pPr>
      <w:r>
        <w:t xml:space="preserve">AdAmigo, "Meta Ads CPM &amp; CPC Benchmarks by Country in 2026" (publicado el 18-oct-2026; CPM y CPC por país). https://www.adamigo.ai/blog/meta-ads-cpm-cpc-benchmarks-by-country-2026</w:t>
      </w:r>
    </w:p>
    <w:p>
      <w:pPr>
        <w:pStyle w:val="ListParagraph"/>
        <w:numPr>
          <w:ilvl w:val="0"/>
          <w:numId w:val="2"/>
        </w:numPr>
        <w:spacing w:after="60"/>
      </w:pPr>
      <w:r>
        <w:t xml:space="preserve">Bestever, "Facebook Ads Benchmarks by Industry &amp; Format in 2025" (3-ago-2025; CTR de 1.57 % y conversión retail de 3.26 %, citando a WordStream, Triple Whale y AgencyAnalytics). https://www.bestever.ai/post/facebook-ads-benchmarks</w:t>
      </w:r>
    </w:p>
    <w:p>
      <w:pPr>
        <w:pStyle w:val="ListParagraph"/>
        <w:numPr>
          <w:ilvl w:val="0"/>
          <w:numId w:val="2"/>
        </w:numPr>
        <w:spacing w:after="60"/>
      </w:pPr>
      <w:r>
        <w:t xml:space="preserve">Trendtrack, "Meta ad spend by industry 2025" (CTR promedio mundial de 0.9 %). https://www.trendtrack.io/blog-post/meta-ad-spend-by-industry</w:t>
      </w:r>
    </w:p>
    <w:p>
      <w:pPr>
        <w:pStyle w:val="ListParagraph"/>
        <w:numPr>
          <w:ilvl w:val="0"/>
          <w:numId w:val="2"/>
        </w:numPr>
        <w:spacing w:after="60"/>
      </w:pPr>
      <w:r>
        <w:t xml:space="preserve">BCRP, tipo de cambio interbancario venta, serie diaria PD04638PD (15-oct-2026: S/3.428; consulta del 19-oct-2026). https://estadisticas.bcrp.gob.pe/estadisticas/series/api/PD04638PD/json/2026-10-01/2026-10-19/ing</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3A2A"/>
        <w:sz w:val="16"/>
        <w:szCs w:val="16"/>
      </w:rPr>
      <w:t xml:space="preserve">AndiBite · Grupo 2 · T2 Plan de marketing · </w:t>
    </w:r>
    <w:r>
      <w:rPr>
        <w:color w:val="6B3A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1A14"/>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BA4036"/>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A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f3c9826b2d7f4f869c9577bdc91c7b2dc49bf7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 #17 Presupuesto: inversión por canal, CPA, ROAS y ROI</dc:title>
  <dc:creator>Grupo 2</dc:creator>
  <cp:lastModifiedBy>Un-named</cp:lastModifiedBy>
  <cp:revision>1</cp:revision>
  <dcterms:created xsi:type="dcterms:W3CDTF">2026-10-19T01:18:27.748Z</dcterms:created>
  <dcterms:modified xsi:type="dcterms:W3CDTF">2026-10-19T01:18:27.748Z</dcterms:modified>
</cp:coreProperties>
</file>

<file path=docProps/custom.xml><?xml version="1.0" encoding="utf-8"?>
<Properties xmlns="http://schemas.openxmlformats.org/officeDocument/2006/custom-properties" xmlns:vt="http://schemas.openxmlformats.org/officeDocument/2006/docPropsVTypes"/>
</file>