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1F487C"/>
          <w:spacing w:val="-2"/>
        </w:rPr>
        <w:t>GigGuard</w:t>
      </w:r>
    </w:p>
    <w:p>
      <w:pPr>
        <w:spacing w:before="161"/>
        <w:ind w:left="1" w:right="1" w:firstLine="0"/>
        <w:jc w:val="center"/>
        <w:rPr>
          <w:sz w:val="36"/>
        </w:rPr>
      </w:pPr>
      <w:r>
        <w:rPr>
          <w:color w:val="2D75B6"/>
          <w:sz w:val="36"/>
        </w:rPr>
        <w:t>Weekly</w:t>
      </w:r>
      <w:r>
        <w:rPr>
          <w:color w:val="2D75B6"/>
          <w:spacing w:val="-6"/>
          <w:sz w:val="36"/>
        </w:rPr>
        <w:t> </w:t>
      </w:r>
      <w:r>
        <w:rPr>
          <w:color w:val="2D75B6"/>
          <w:sz w:val="36"/>
        </w:rPr>
        <w:t>Premium</w:t>
      </w:r>
      <w:r>
        <w:rPr>
          <w:color w:val="2D75B6"/>
          <w:spacing w:val="-4"/>
          <w:sz w:val="36"/>
        </w:rPr>
        <w:t> </w:t>
      </w:r>
      <w:r>
        <w:rPr>
          <w:color w:val="2D75B6"/>
          <w:spacing w:val="-2"/>
          <w:sz w:val="36"/>
        </w:rPr>
        <w:t>Model</w:t>
      </w:r>
    </w:p>
    <w:p>
      <w:pPr>
        <w:spacing w:before="79"/>
        <w:ind w:left="1" w:right="1" w:firstLine="0"/>
        <w:jc w:val="center"/>
        <w:rPr>
          <w:rFonts w:ascii="Arial" w:hAnsi="Arial"/>
          <w:i/>
          <w:sz w:val="20"/>
        </w:rPr>
      </w:pPr>
      <w:r>
        <w:rPr>
          <w:rFonts w:ascii="Arial" w:hAnsi="Arial"/>
          <w:i/>
          <w:color w:val="878787"/>
          <w:sz w:val="20"/>
        </w:rPr>
        <w:t>Version</w:t>
      </w:r>
      <w:r>
        <w:rPr>
          <w:rFonts w:ascii="Arial" w:hAnsi="Arial"/>
          <w:i/>
          <w:color w:val="878787"/>
          <w:spacing w:val="-4"/>
          <w:sz w:val="20"/>
        </w:rPr>
        <w:t> </w:t>
      </w:r>
      <w:r>
        <w:rPr>
          <w:rFonts w:ascii="Arial" w:hAnsi="Arial"/>
          <w:i/>
          <w:color w:val="878787"/>
          <w:sz w:val="20"/>
        </w:rPr>
        <w:t>1.1</w:t>
      </w:r>
      <w:r>
        <w:rPr>
          <w:rFonts w:ascii="Arial" w:hAnsi="Arial"/>
          <w:i/>
          <w:color w:val="878787"/>
          <w:spacing w:val="49"/>
          <w:sz w:val="20"/>
        </w:rPr>
        <w:t> </w:t>
      </w:r>
      <w:r>
        <w:rPr>
          <w:rFonts w:ascii="Arial" w:hAnsi="Arial"/>
          <w:i/>
          <w:color w:val="878787"/>
          <w:sz w:val="20"/>
        </w:rPr>
        <w:t>·</w:t>
      </w:r>
      <w:r>
        <w:rPr>
          <w:rFonts w:ascii="Arial" w:hAnsi="Arial"/>
          <w:i/>
          <w:color w:val="878787"/>
          <w:spacing w:val="51"/>
          <w:sz w:val="20"/>
        </w:rPr>
        <w:t> </w:t>
      </w:r>
      <w:r>
        <w:rPr>
          <w:rFonts w:ascii="Arial" w:hAnsi="Arial"/>
          <w:i/>
          <w:color w:val="878787"/>
          <w:sz w:val="20"/>
        </w:rPr>
        <w:t>March</w:t>
      </w:r>
      <w:r>
        <w:rPr>
          <w:rFonts w:ascii="Arial" w:hAnsi="Arial"/>
          <w:i/>
          <w:color w:val="878787"/>
          <w:spacing w:val="-4"/>
          <w:sz w:val="20"/>
        </w:rPr>
        <w:t> 2026</w:t>
      </w:r>
    </w:p>
    <w:p>
      <w:pPr>
        <w:spacing w:after="0"/>
        <w:jc w:val="center"/>
        <w:rPr>
          <w:rFonts w:ascii="Arial" w:hAnsi="Arial"/>
          <w:i/>
          <w:sz w:val="20"/>
        </w:rPr>
        <w:sectPr>
          <w:footerReference w:type="default" r:id="rId5"/>
          <w:type w:val="continuous"/>
          <w:pgSz w:w="12240" w:h="15840"/>
          <w:pgMar w:header="0" w:footer="707" w:top="1820" w:bottom="900" w:left="1080" w:right="1080"/>
          <w:pgNumType w:start="1"/>
        </w:sectPr>
      </w:pPr>
    </w:p>
    <w:p>
      <w:pPr>
        <w:pStyle w:val="Heading1"/>
        <w:numPr>
          <w:ilvl w:val="0"/>
          <w:numId w:val="1"/>
        </w:numPr>
        <w:tabs>
          <w:tab w:pos="760" w:val="left" w:leader="none"/>
        </w:tabs>
        <w:spacing w:line="240" w:lineRule="auto" w:before="274" w:after="0"/>
        <w:ind w:left="760" w:right="0" w:hanging="400"/>
        <w:jc w:val="left"/>
      </w:pPr>
      <w:r>
        <w:rPr>
          <w:color w:val="1F487C"/>
        </w:rPr>
        <w:t>Design</w:t>
      </w:r>
      <w:r>
        <w:rPr>
          <w:color w:val="1F487C"/>
          <w:spacing w:val="-2"/>
        </w:rPr>
        <w:t> Philosophy</w:t>
      </w:r>
    </w:p>
    <w:p>
      <w:pPr>
        <w:pStyle w:val="BodyText"/>
        <w:rPr>
          <w:rFonts w:ascii="Arial"/>
          <w:b/>
          <w:sz w:val="5"/>
        </w:rPr>
      </w:pPr>
      <w:r>
        <w:rPr>
          <w:rFonts w:ascii="Arial"/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896416</wp:posOffset>
                </wp:positionH>
                <wp:positionV relativeFrom="paragraph">
                  <wp:posOffset>52092</wp:posOffset>
                </wp:positionV>
                <wp:extent cx="5981065" cy="635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9810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635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81065" y="6096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87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4.101758pt;width:470.95pt;height:.48pt;mso-position-horizontal-relative:page;mso-position-vertical-relative:paragraph;z-index:-15728640;mso-wrap-distance-left:0;mso-wrap-distance-right:0" id="docshape2" filled="true" fillcolor="#1f487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58"/>
        <w:ind w:left="360" w:right="311"/>
      </w:pPr>
      <w:r>
        <w:rPr/>
        <w:t>The</w:t>
      </w:r>
      <w:r>
        <w:rPr>
          <w:spacing w:val="-2"/>
        </w:rPr>
        <w:t> </w:t>
      </w:r>
      <w:r>
        <w:rPr/>
        <w:t>GigGuard</w:t>
      </w:r>
      <w:r>
        <w:rPr>
          <w:spacing w:val="-4"/>
        </w:rPr>
        <w:t> </w:t>
      </w:r>
      <w:r>
        <w:rPr/>
        <w:t>premium</w:t>
      </w:r>
      <w:r>
        <w:rPr>
          <w:spacing w:val="-6"/>
        </w:rPr>
        <w:t> </w:t>
      </w:r>
      <w:r>
        <w:rPr/>
        <w:t>model</w:t>
      </w:r>
      <w:r>
        <w:rPr>
          <w:spacing w:val="-3"/>
        </w:rPr>
        <w:t> </w:t>
      </w:r>
      <w:r>
        <w:rPr/>
        <w:t>is</w:t>
      </w:r>
      <w:r>
        <w:rPr>
          <w:spacing w:val="-1"/>
        </w:rPr>
        <w:t> </w:t>
      </w:r>
      <w:r>
        <w:rPr/>
        <w:t>engineered</w:t>
      </w:r>
      <w:r>
        <w:rPr>
          <w:spacing w:val="-4"/>
        </w:rPr>
        <w:t> </w:t>
      </w:r>
      <w:r>
        <w:rPr/>
        <w:t>from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ground</w:t>
      </w:r>
      <w:r>
        <w:rPr>
          <w:spacing w:val="-2"/>
        </w:rPr>
        <w:t> </w:t>
      </w:r>
      <w:r>
        <w:rPr/>
        <w:t>up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serve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unique</w:t>
      </w:r>
      <w:r>
        <w:rPr>
          <w:spacing w:val="-2"/>
        </w:rPr>
        <w:t> </w:t>
      </w:r>
      <w:r>
        <w:rPr/>
        <w:t>financial realities of a gig-economy delivery worker. Our core philosophy rejects the traditional, rigid structures of insurance in favour of a flexible, transparent, and highly aligned approach.</w:t>
      </w:r>
    </w:p>
    <w:p>
      <w:pPr>
        <w:pStyle w:val="BodyText"/>
      </w:pPr>
    </w:p>
    <w:p>
      <w:pPr>
        <w:pStyle w:val="BodyText"/>
        <w:spacing w:before="184"/>
      </w:pPr>
    </w:p>
    <w:p>
      <w:pPr>
        <w:pStyle w:val="Heading2"/>
        <w:ind w:firstLine="0"/>
      </w:pPr>
      <w:r>
        <w:rPr>
          <w:color w:val="2D75B6"/>
        </w:rPr>
        <w:t>Why</w:t>
      </w:r>
      <w:r>
        <w:rPr>
          <w:color w:val="2D75B6"/>
          <w:spacing w:val="-1"/>
        </w:rPr>
        <w:t> </w:t>
      </w:r>
      <w:r>
        <w:rPr>
          <w:color w:val="2D75B6"/>
          <w:spacing w:val="-2"/>
        </w:rPr>
        <w:t>Weekly?</w:t>
      </w:r>
    </w:p>
    <w:p>
      <w:pPr>
        <w:pStyle w:val="BodyText"/>
        <w:spacing w:before="123"/>
        <w:ind w:left="360" w:right="311"/>
      </w:pPr>
      <w:r>
        <w:rPr/>
        <w:t>Gig workers live in a world of weekly, not monthly, finance. They track weekly earnings, pay for weekly expenses (like fuel), and manage their cash flow over a seven-day cycle. A monthly premium</w:t>
      </w:r>
      <w:r>
        <w:rPr>
          <w:spacing w:val="-4"/>
        </w:rPr>
        <w:t> </w:t>
      </w:r>
      <w:r>
        <w:rPr/>
        <w:t>is</w:t>
      </w:r>
      <w:r>
        <w:rPr>
          <w:spacing w:val="-2"/>
        </w:rPr>
        <w:t> </w:t>
      </w:r>
      <w:r>
        <w:rPr/>
        <w:t>a</w:t>
      </w:r>
      <w:r>
        <w:rPr>
          <w:spacing w:val="-5"/>
        </w:rPr>
        <w:t> </w:t>
      </w:r>
      <w:r>
        <w:rPr/>
        <w:t>large,</w:t>
      </w:r>
      <w:r>
        <w:rPr>
          <w:spacing w:val="-1"/>
        </w:rPr>
        <w:t> </w:t>
      </w:r>
      <w:r>
        <w:rPr/>
        <w:t>daunting</w:t>
      </w:r>
      <w:r>
        <w:rPr>
          <w:spacing w:val="-3"/>
        </w:rPr>
        <w:t> </w:t>
      </w:r>
      <w:r>
        <w:rPr/>
        <w:t>commitment.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small</w:t>
      </w:r>
      <w:r>
        <w:rPr>
          <w:spacing w:val="-3"/>
        </w:rPr>
        <w:t> </w:t>
      </w:r>
      <w:r>
        <w:rPr/>
        <w:t>weekly</w:t>
      </w:r>
      <w:r>
        <w:rPr>
          <w:spacing w:val="-2"/>
        </w:rPr>
        <w:t> </w:t>
      </w:r>
      <w:r>
        <w:rPr/>
        <w:t>premium</w:t>
      </w:r>
      <w:r>
        <w:rPr>
          <w:spacing w:val="-2"/>
        </w:rPr>
        <w:t> </w:t>
      </w:r>
      <w:r>
        <w:rPr/>
        <w:t>is</w:t>
      </w:r>
      <w:r>
        <w:rPr>
          <w:spacing w:val="-5"/>
        </w:rPr>
        <w:t> </w:t>
      </w:r>
      <w:r>
        <w:rPr/>
        <w:t>a manageable</w:t>
      </w:r>
      <w:r>
        <w:rPr>
          <w:spacing w:val="-3"/>
        </w:rPr>
        <w:t> </w:t>
      </w:r>
      <w:r>
        <w:rPr/>
        <w:t>operational expense, akin</w:t>
      </w:r>
      <w:r>
        <w:rPr>
          <w:spacing w:val="-1"/>
        </w:rPr>
        <w:t> </w:t>
      </w:r>
      <w:r>
        <w:rPr/>
        <w:t>to</w:t>
      </w:r>
      <w:r>
        <w:rPr>
          <w:spacing w:val="-3"/>
        </w:rPr>
        <w:t> </w:t>
      </w:r>
      <w:r>
        <w:rPr/>
        <w:t>topping</w:t>
      </w:r>
      <w:r>
        <w:rPr>
          <w:spacing w:val="-6"/>
        </w:rPr>
        <w:t> </w:t>
      </w:r>
      <w:r>
        <w:rPr/>
        <w:t>up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fuel</w:t>
      </w:r>
      <w:r>
        <w:rPr>
          <w:spacing w:val="-1"/>
        </w:rPr>
        <w:t> </w:t>
      </w:r>
      <w:r>
        <w:rPr/>
        <w:t>tank.</w:t>
      </w:r>
      <w:r>
        <w:rPr>
          <w:spacing w:val="-2"/>
        </w:rPr>
        <w:t> </w:t>
      </w:r>
      <w:r>
        <w:rPr/>
        <w:t>This cadence</w:t>
      </w:r>
      <w:r>
        <w:rPr>
          <w:spacing w:val="-1"/>
        </w:rPr>
        <w:t> </w:t>
      </w:r>
      <w:r>
        <w:rPr/>
        <w:t>provides</w:t>
      </w:r>
      <w:r>
        <w:rPr>
          <w:spacing w:val="-3"/>
        </w:rPr>
        <w:t> </w:t>
      </w:r>
      <w:r>
        <w:rPr/>
        <w:t>unparalleled</w:t>
      </w:r>
      <w:r>
        <w:rPr>
          <w:spacing w:val="-1"/>
        </w:rPr>
        <w:t> </w:t>
      </w:r>
      <w:r>
        <w:rPr/>
        <w:t>flexibility, allowing</w:t>
      </w:r>
      <w:r>
        <w:rPr>
          <w:spacing w:val="-1"/>
        </w:rPr>
        <w:t> </w:t>
      </w:r>
      <w:r>
        <w:rPr/>
        <w:t>a worker to be covered during high-risk periods (like a monsoon-heavy week in Mumbai) and opt out during calmer periods, directly controlling their expenses.</w:t>
      </w:r>
    </w:p>
    <w:p>
      <w:pPr>
        <w:pStyle w:val="BodyText"/>
      </w:pPr>
    </w:p>
    <w:p>
      <w:pPr>
        <w:pStyle w:val="BodyText"/>
        <w:spacing w:before="186"/>
      </w:pPr>
    </w:p>
    <w:p>
      <w:pPr>
        <w:pStyle w:val="Heading2"/>
        <w:ind w:firstLine="0"/>
      </w:pPr>
      <w:r>
        <w:rPr>
          <w:color w:val="2D75B6"/>
        </w:rPr>
        <w:t>Why</w:t>
      </w:r>
      <w:r>
        <w:rPr>
          <w:color w:val="2D75B6"/>
          <w:spacing w:val="-7"/>
        </w:rPr>
        <w:t> </w:t>
      </w:r>
      <w:r>
        <w:rPr>
          <w:color w:val="2D75B6"/>
        </w:rPr>
        <w:t>Parametric</w:t>
      </w:r>
      <w:r>
        <w:rPr>
          <w:color w:val="2D75B6"/>
          <w:spacing w:val="-8"/>
        </w:rPr>
        <w:t> </w:t>
      </w:r>
      <w:r>
        <w:rPr>
          <w:color w:val="2D75B6"/>
          <w:spacing w:val="-2"/>
        </w:rPr>
        <w:t>Pricing?</w:t>
      </w:r>
    </w:p>
    <w:p>
      <w:pPr>
        <w:pStyle w:val="BodyText"/>
        <w:spacing w:before="121"/>
        <w:ind w:left="360" w:right="478"/>
      </w:pPr>
      <w:r>
        <w:rPr/>
        <w:t>Our pricing is a direct reflection of risk, calculated dynamically. Instead of a flat rate, our AI- driven model assesses the objective risk of a worker’s specific zone, the immediate weather forecast, and their personal history. This means a worker in a historically safe, dry zone pays less than one in a flood-prone area. Workers can understand why their premium might be slightly</w:t>
      </w:r>
      <w:r>
        <w:rPr>
          <w:spacing w:val="-1"/>
        </w:rPr>
        <w:t> </w:t>
      </w:r>
      <w:r>
        <w:rPr/>
        <w:t>higher</w:t>
      </w:r>
      <w:r>
        <w:rPr>
          <w:spacing w:val="-1"/>
        </w:rPr>
        <w:t> </w:t>
      </w:r>
      <w:r>
        <w:rPr/>
        <w:t>one</w:t>
      </w:r>
      <w:r>
        <w:rPr>
          <w:spacing w:val="-4"/>
        </w:rPr>
        <w:t> </w:t>
      </w:r>
      <w:r>
        <w:rPr/>
        <w:t>week</w:t>
      </w:r>
      <w:r>
        <w:rPr>
          <w:spacing w:val="-2"/>
        </w:rPr>
        <w:t> </w:t>
      </w:r>
      <w:r>
        <w:rPr/>
        <w:t>—</w:t>
      </w:r>
      <w:r>
        <w:rPr>
          <w:spacing w:val="-1"/>
        </w:rPr>
        <w:t> </w:t>
      </w:r>
      <w:r>
        <w:rPr/>
        <w:t>a</w:t>
      </w:r>
      <w:r>
        <w:rPr>
          <w:spacing w:val="-4"/>
        </w:rPr>
        <w:t> </w:t>
      </w:r>
      <w:r>
        <w:rPr/>
        <w:t>cyclone</w:t>
      </w:r>
      <w:r>
        <w:rPr>
          <w:spacing w:val="-2"/>
        </w:rPr>
        <w:t> </w:t>
      </w:r>
      <w:r>
        <w:rPr/>
        <w:t>is</w:t>
      </w:r>
      <w:r>
        <w:rPr>
          <w:spacing w:val="-4"/>
        </w:rPr>
        <w:t> </w:t>
      </w:r>
      <w:r>
        <w:rPr/>
        <w:t>forecast</w:t>
      </w:r>
      <w:r>
        <w:rPr>
          <w:spacing w:val="-5"/>
        </w:rPr>
        <w:t> </w:t>
      </w:r>
      <w:r>
        <w:rPr/>
        <w:t>—</w:t>
      </w:r>
      <w:r>
        <w:rPr>
          <w:spacing w:val="-1"/>
        </w:rPr>
        <w:t> </w:t>
      </w:r>
      <w:r>
        <w:rPr/>
        <w:t>and</w:t>
      </w:r>
      <w:r>
        <w:rPr>
          <w:spacing w:val="-4"/>
        </w:rPr>
        <w:t> </w:t>
      </w:r>
      <w:r>
        <w:rPr/>
        <w:t>trust</w:t>
      </w:r>
      <w:r>
        <w:rPr>
          <w:spacing w:val="-3"/>
        </w:rPr>
        <w:t> </w:t>
      </w:r>
      <w:r>
        <w:rPr/>
        <w:t>that it</w:t>
      </w:r>
      <w:r>
        <w:rPr>
          <w:spacing w:val="-3"/>
        </w:rPr>
        <w:t> </w:t>
      </w:r>
      <w:r>
        <w:rPr/>
        <w:t>will</w:t>
      </w:r>
      <w:r>
        <w:rPr>
          <w:spacing w:val="-2"/>
        </w:rPr>
        <w:t> </w:t>
      </w:r>
      <w:r>
        <w:rPr/>
        <w:t>decrease</w:t>
      </w:r>
      <w:r>
        <w:rPr>
          <w:spacing w:val="-2"/>
        </w:rPr>
        <w:t> </w:t>
      </w:r>
      <w:r>
        <w:rPr/>
        <w:t>when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risk </w:t>
      </w:r>
      <w:r>
        <w:rPr>
          <w:spacing w:val="-2"/>
        </w:rPr>
        <w:t>subsides.</w:t>
      </w:r>
    </w:p>
    <w:p>
      <w:pPr>
        <w:pStyle w:val="BodyText"/>
      </w:pPr>
    </w:p>
    <w:p>
      <w:pPr>
        <w:pStyle w:val="BodyText"/>
        <w:spacing w:before="185"/>
      </w:pPr>
    </w:p>
    <w:p>
      <w:pPr>
        <w:pStyle w:val="Heading2"/>
        <w:spacing w:before="1"/>
        <w:ind w:firstLine="0"/>
      </w:pPr>
      <w:r>
        <w:rPr>
          <w:color w:val="2D75B6"/>
        </w:rPr>
        <w:t>Why</w:t>
      </w:r>
      <w:r>
        <w:rPr>
          <w:color w:val="2D75B6"/>
          <w:spacing w:val="-6"/>
        </w:rPr>
        <w:t> </w:t>
      </w:r>
      <w:r>
        <w:rPr>
          <w:color w:val="2D75B6"/>
        </w:rPr>
        <w:t>Income</w:t>
      </w:r>
      <w:r>
        <w:rPr>
          <w:color w:val="2D75B6"/>
          <w:spacing w:val="-5"/>
        </w:rPr>
        <w:t> </w:t>
      </w:r>
      <w:r>
        <w:rPr>
          <w:color w:val="2D75B6"/>
          <w:spacing w:val="-2"/>
        </w:rPr>
        <w:t>Replacement?</w:t>
      </w:r>
    </w:p>
    <w:p>
      <w:pPr>
        <w:pStyle w:val="BodyText"/>
        <w:spacing w:before="123"/>
        <w:ind w:left="360" w:right="311"/>
      </w:pPr>
      <w:r>
        <w:rPr/>
        <w:t>We</w:t>
      </w:r>
      <w:r>
        <w:rPr>
          <w:spacing w:val="-1"/>
        </w:rPr>
        <w:t> </w:t>
      </w:r>
      <w:r>
        <w:rPr/>
        <w:t>do</w:t>
      </w:r>
      <w:r>
        <w:rPr>
          <w:spacing w:val="-4"/>
        </w:rPr>
        <w:t> </w:t>
      </w:r>
      <w:r>
        <w:rPr/>
        <w:t>not</w:t>
      </w:r>
      <w:r>
        <w:rPr>
          <w:spacing w:val="-3"/>
        </w:rPr>
        <w:t> </w:t>
      </w:r>
      <w:r>
        <w:rPr/>
        <w:t>offer</w:t>
      </w:r>
      <w:r>
        <w:rPr>
          <w:spacing w:val="-3"/>
        </w:rPr>
        <w:t> </w:t>
      </w:r>
      <w:r>
        <w:rPr/>
        <w:t>abstract,</w:t>
      </w:r>
      <w:r>
        <w:rPr>
          <w:spacing w:val="-3"/>
        </w:rPr>
        <w:t> </w:t>
      </w:r>
      <w:r>
        <w:rPr/>
        <w:t>fixed-sum</w:t>
      </w:r>
      <w:r>
        <w:rPr>
          <w:spacing w:val="-3"/>
        </w:rPr>
        <w:t> </w:t>
      </w:r>
      <w:r>
        <w:rPr/>
        <w:t>payouts.</w:t>
      </w:r>
      <w:r>
        <w:rPr>
          <w:spacing w:val="-3"/>
        </w:rPr>
        <w:t> </w:t>
      </w:r>
      <w:r>
        <w:rPr/>
        <w:t>Our</w:t>
      </w:r>
      <w:r>
        <w:rPr>
          <w:spacing w:val="-3"/>
        </w:rPr>
        <w:t> </w:t>
      </w:r>
      <w:r>
        <w:rPr/>
        <w:t>coverage</w:t>
      </w:r>
      <w:r>
        <w:rPr>
          <w:spacing w:val="-2"/>
        </w:rPr>
        <w:t> </w:t>
      </w:r>
      <w:r>
        <w:rPr/>
        <w:t>is</w:t>
      </w:r>
      <w:r>
        <w:rPr>
          <w:spacing w:val="-4"/>
        </w:rPr>
        <w:t> </w:t>
      </w:r>
      <w:r>
        <w:rPr/>
        <w:t>explicitly</w:t>
      </w:r>
      <w:r>
        <w:rPr>
          <w:spacing w:val="-1"/>
        </w:rPr>
        <w:t> </w:t>
      </w:r>
      <w:r>
        <w:rPr/>
        <w:t>designed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income</w:t>
      </w:r>
      <w:r>
        <w:rPr>
          <w:spacing w:val="-4"/>
        </w:rPr>
        <w:t> </w:t>
      </w:r>
      <w:r>
        <w:rPr/>
        <w:t>loss replacement.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payout</w:t>
      </w:r>
      <w:r>
        <w:rPr>
          <w:spacing w:val="-4"/>
        </w:rPr>
        <w:t> </w:t>
      </w:r>
      <w:r>
        <w:rPr/>
        <w:t>is</w:t>
      </w:r>
      <w:r>
        <w:rPr>
          <w:spacing w:val="-2"/>
        </w:rPr>
        <w:t> </w:t>
      </w:r>
      <w:r>
        <w:rPr/>
        <w:t>calculated</w:t>
      </w:r>
      <w:r>
        <w:rPr>
          <w:spacing w:val="-5"/>
        </w:rPr>
        <w:t> </w:t>
      </w:r>
      <w:r>
        <w:rPr/>
        <w:t>based</w:t>
      </w:r>
      <w:r>
        <w:rPr>
          <w:spacing w:val="-3"/>
        </w:rPr>
        <w:t> </w:t>
      </w:r>
      <w:r>
        <w:rPr/>
        <w:t>on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worker’s</w:t>
      </w:r>
      <w:r>
        <w:rPr>
          <w:spacing w:val="-5"/>
        </w:rPr>
        <w:t> </w:t>
      </w:r>
      <w:r>
        <w:rPr/>
        <w:t>own</w:t>
      </w:r>
      <w:r>
        <w:rPr>
          <w:spacing w:val="-3"/>
        </w:rPr>
        <w:t> </w:t>
      </w:r>
      <w:r>
        <w:rPr/>
        <w:t>stated</w:t>
      </w:r>
      <w:r>
        <w:rPr>
          <w:spacing w:val="-5"/>
        </w:rPr>
        <w:t> </w:t>
      </w:r>
      <w:r>
        <w:rPr/>
        <w:t>average</w:t>
      </w:r>
      <w:r>
        <w:rPr>
          <w:spacing w:val="-3"/>
        </w:rPr>
        <w:t> </w:t>
      </w:r>
      <w:r>
        <w:rPr/>
        <w:t>daily</w:t>
      </w:r>
      <w:r>
        <w:rPr>
          <w:spacing w:val="-2"/>
        </w:rPr>
        <w:t> </w:t>
      </w:r>
      <w:r>
        <w:rPr/>
        <w:t>earnings and the duration of the disruption. If an event stops you from working for half a day, we replace the income you would have lost. This direct link between the premium paid and the real-world financial protection offered is the cornerstone of our product’s value proposition.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"/>
      </w:pPr>
    </w:p>
    <w:p>
      <w:pPr>
        <w:pStyle w:val="Heading1"/>
        <w:numPr>
          <w:ilvl w:val="0"/>
          <w:numId w:val="1"/>
        </w:numPr>
        <w:tabs>
          <w:tab w:pos="758" w:val="left" w:leader="none"/>
        </w:tabs>
        <w:spacing w:line="240" w:lineRule="auto" w:before="0" w:after="0"/>
        <w:ind w:left="758" w:right="0" w:hanging="398"/>
        <w:jc w:val="left"/>
      </w:pPr>
      <w:r>
        <w:rPr>
          <w:color w:val="1F487C"/>
        </w:rPr>
        <w:t>The</w:t>
      </w:r>
      <w:r>
        <w:rPr>
          <w:color w:val="1F487C"/>
          <w:spacing w:val="1"/>
        </w:rPr>
        <w:t> </w:t>
      </w:r>
      <w:r>
        <w:rPr>
          <w:color w:val="1F487C"/>
          <w:spacing w:val="-2"/>
        </w:rPr>
        <w:t>Formula</w:t>
      </w:r>
    </w:p>
    <w:p>
      <w:pPr>
        <w:pStyle w:val="BodyText"/>
        <w:spacing w:before="9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896416</wp:posOffset>
                </wp:positionH>
                <wp:positionV relativeFrom="paragraph">
                  <wp:posOffset>50634</wp:posOffset>
                </wp:positionV>
                <wp:extent cx="5981065" cy="635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9810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635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81065" y="6096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87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3.986972pt;width:470.95pt;height:.48004pt;mso-position-horizontal-relative:page;mso-position-vertical-relative:paragraph;z-index:-15728128;mso-wrap-distance-left:0;mso-wrap-distance-right:0" id="docshape3" filled="true" fillcolor="#1f487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58"/>
        <w:ind w:left="360" w:right="478"/>
      </w:pPr>
      <w:r>
        <w:rPr/>
        <w:t>The</w:t>
      </w:r>
      <w:r>
        <w:rPr>
          <w:spacing w:val="-3"/>
        </w:rPr>
        <w:t> </w:t>
      </w:r>
      <w:r>
        <w:rPr/>
        <w:t>weekly</w:t>
      </w:r>
      <w:r>
        <w:rPr>
          <w:spacing w:val="-2"/>
        </w:rPr>
        <w:t> </w:t>
      </w:r>
      <w:r>
        <w:rPr/>
        <w:t>premium</w:t>
      </w:r>
      <w:r>
        <w:rPr>
          <w:spacing w:val="-4"/>
        </w:rPr>
        <w:t> </w:t>
      </w:r>
      <w:r>
        <w:rPr/>
        <w:t>is</w:t>
      </w:r>
      <w:r>
        <w:rPr>
          <w:spacing w:val="-2"/>
        </w:rPr>
        <w:t> </w:t>
      </w:r>
      <w:r>
        <w:rPr/>
        <w:t>calculated</w:t>
      </w:r>
      <w:r>
        <w:rPr>
          <w:spacing w:val="-3"/>
        </w:rPr>
        <w:t> </w:t>
      </w:r>
      <w:r>
        <w:rPr/>
        <w:t>using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multi-factor</w:t>
      </w:r>
      <w:r>
        <w:rPr>
          <w:spacing w:val="-4"/>
        </w:rPr>
        <w:t> </w:t>
      </w:r>
      <w:r>
        <w:rPr/>
        <w:t>formula</w:t>
      </w:r>
      <w:r>
        <w:rPr>
          <w:spacing w:val="-5"/>
        </w:rPr>
        <w:t> </w:t>
      </w:r>
      <w:r>
        <w:rPr/>
        <w:t>that</w:t>
      </w:r>
      <w:r>
        <w:rPr>
          <w:spacing w:val="-1"/>
        </w:rPr>
        <w:t> </w:t>
      </w:r>
      <w:r>
        <w:rPr/>
        <w:t>balances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baseline</w:t>
      </w:r>
      <w:r>
        <w:rPr>
          <w:spacing w:val="-3"/>
        </w:rPr>
        <w:t> </w:t>
      </w:r>
      <w:r>
        <w:rPr/>
        <w:t>cost with dynamic, risk-adjusted multipliers.</w:t>
      </w:r>
    </w:p>
    <w:p>
      <w:pPr>
        <w:pStyle w:val="BodyText"/>
        <w:spacing w:before="164"/>
        <w:rPr>
          <w:sz w:val="18"/>
        </w:rPr>
      </w:pPr>
    </w:p>
    <w:p>
      <w:pPr>
        <w:spacing w:before="1"/>
        <w:ind w:left="360" w:right="0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color w:val="000000"/>
          <w:sz w:val="18"/>
          <w:shd w:fill="F4F4F4" w:color="auto" w:val="clear"/>
        </w:rPr>
        <w:t>weekly_premium</w:t>
      </w:r>
      <w:r>
        <w:rPr>
          <w:rFonts w:ascii="Courier New" w:hAnsi="Courier New"/>
          <w:color w:val="000000"/>
          <w:spacing w:val="-10"/>
          <w:sz w:val="18"/>
          <w:shd w:fill="F4F4F4" w:color="auto" w:val="clear"/>
        </w:rPr>
        <w:t> </w:t>
      </w:r>
      <w:r>
        <w:rPr>
          <w:rFonts w:ascii="Courier New" w:hAnsi="Courier New"/>
          <w:color w:val="000000"/>
          <w:sz w:val="18"/>
          <w:shd w:fill="F4F4F4" w:color="auto" w:val="clear"/>
        </w:rPr>
        <w:t>=</w:t>
      </w:r>
      <w:r>
        <w:rPr>
          <w:rFonts w:ascii="Courier New" w:hAnsi="Courier New"/>
          <w:color w:val="000000"/>
          <w:spacing w:val="-7"/>
          <w:sz w:val="18"/>
          <w:shd w:fill="F4F4F4" w:color="auto" w:val="clear"/>
        </w:rPr>
        <w:t> </w:t>
      </w:r>
      <w:r>
        <w:rPr>
          <w:rFonts w:ascii="Courier New" w:hAnsi="Courier New"/>
          <w:color w:val="000000"/>
          <w:sz w:val="18"/>
          <w:shd w:fill="F4F4F4" w:color="auto" w:val="clear"/>
        </w:rPr>
        <w:t>base_rate</w:t>
      </w:r>
      <w:r>
        <w:rPr>
          <w:rFonts w:ascii="Courier New" w:hAnsi="Courier New"/>
          <w:color w:val="000000"/>
          <w:spacing w:val="-8"/>
          <w:sz w:val="18"/>
          <w:shd w:fill="F4F4F4" w:color="auto" w:val="clear"/>
        </w:rPr>
        <w:t> </w:t>
      </w:r>
      <w:r>
        <w:rPr>
          <w:rFonts w:ascii="Courier New" w:hAnsi="Courier New"/>
          <w:color w:val="000000"/>
          <w:sz w:val="18"/>
          <w:shd w:fill="F4F4F4" w:color="auto" w:val="clear"/>
        </w:rPr>
        <w:t>×</w:t>
      </w:r>
      <w:r>
        <w:rPr>
          <w:rFonts w:ascii="Courier New" w:hAnsi="Courier New"/>
          <w:color w:val="000000"/>
          <w:spacing w:val="-7"/>
          <w:sz w:val="18"/>
          <w:shd w:fill="F4F4F4" w:color="auto" w:val="clear"/>
        </w:rPr>
        <w:t> </w:t>
      </w:r>
      <w:r>
        <w:rPr>
          <w:rFonts w:ascii="Courier New" w:hAnsi="Courier New"/>
          <w:color w:val="000000"/>
          <w:sz w:val="18"/>
          <w:shd w:fill="F4F4F4" w:color="auto" w:val="clear"/>
        </w:rPr>
        <w:t>zone_multiplier</w:t>
      </w:r>
      <w:r>
        <w:rPr>
          <w:rFonts w:ascii="Courier New" w:hAnsi="Courier New"/>
          <w:color w:val="000000"/>
          <w:spacing w:val="-8"/>
          <w:sz w:val="18"/>
          <w:shd w:fill="F4F4F4" w:color="auto" w:val="clear"/>
        </w:rPr>
        <w:t> </w:t>
      </w:r>
      <w:r>
        <w:rPr>
          <w:rFonts w:ascii="Courier New" w:hAnsi="Courier New"/>
          <w:color w:val="000000"/>
          <w:sz w:val="18"/>
          <w:shd w:fill="F4F4F4" w:color="auto" w:val="clear"/>
        </w:rPr>
        <w:t>×</w:t>
      </w:r>
      <w:r>
        <w:rPr>
          <w:rFonts w:ascii="Courier New" w:hAnsi="Courier New"/>
          <w:color w:val="000000"/>
          <w:spacing w:val="-7"/>
          <w:sz w:val="18"/>
          <w:shd w:fill="F4F4F4" w:color="auto" w:val="clear"/>
        </w:rPr>
        <w:t> </w:t>
      </w:r>
      <w:r>
        <w:rPr>
          <w:rFonts w:ascii="Courier New" w:hAnsi="Courier New"/>
          <w:color w:val="000000"/>
          <w:sz w:val="18"/>
          <w:shd w:fill="F4F4F4" w:color="auto" w:val="clear"/>
        </w:rPr>
        <w:t>weather_multiplier</w:t>
      </w:r>
      <w:r>
        <w:rPr>
          <w:rFonts w:ascii="Courier New" w:hAnsi="Courier New"/>
          <w:color w:val="000000"/>
          <w:spacing w:val="-8"/>
          <w:sz w:val="18"/>
          <w:shd w:fill="F4F4F4" w:color="auto" w:val="clear"/>
        </w:rPr>
        <w:t> </w:t>
      </w:r>
      <w:r>
        <w:rPr>
          <w:rFonts w:ascii="Courier New" w:hAnsi="Courier New"/>
          <w:color w:val="000000"/>
          <w:sz w:val="18"/>
          <w:shd w:fill="F4F4F4" w:color="auto" w:val="clear"/>
        </w:rPr>
        <w:t>×</w:t>
      </w:r>
      <w:r>
        <w:rPr>
          <w:rFonts w:ascii="Courier New" w:hAnsi="Courier New"/>
          <w:color w:val="000000"/>
          <w:spacing w:val="-7"/>
          <w:sz w:val="18"/>
          <w:shd w:fill="F4F4F4" w:color="auto" w:val="clear"/>
        </w:rPr>
        <w:t> </w:t>
      </w:r>
      <w:r>
        <w:rPr>
          <w:rFonts w:ascii="Courier New" w:hAnsi="Courier New"/>
          <w:color w:val="000000"/>
          <w:spacing w:val="-2"/>
          <w:sz w:val="18"/>
          <w:shd w:fill="F4F4F4" w:color="auto" w:val="clear"/>
        </w:rPr>
        <w:t>history_multiplier</w:t>
      </w:r>
      <w:r>
        <w:rPr>
          <w:rFonts w:ascii="Courier New" w:hAnsi="Courier New"/>
          <w:color w:val="000000"/>
          <w:spacing w:val="40"/>
          <w:sz w:val="18"/>
          <w:shd w:fill="F4F4F4" w:color="auto" w:val="clear"/>
        </w:rPr>
        <w:t> </w:t>
      </w:r>
    </w:p>
    <w:p>
      <w:pPr>
        <w:pStyle w:val="BodyText"/>
        <w:spacing w:before="28"/>
        <w:rPr>
          <w:rFonts w:ascii="Courier New"/>
          <w:sz w:val="20"/>
        </w:rPr>
      </w:pPr>
    </w:p>
    <w:tbl>
      <w:tblPr>
        <w:tblW w:w="0" w:type="auto"/>
        <w:jc w:val="left"/>
        <w:tblInd w:w="363" w:type="dxa"/>
        <w:tblBorders>
          <w:top w:val="single" w:sz="2" w:space="0" w:color="878787"/>
          <w:left w:val="single" w:sz="2" w:space="0" w:color="878787"/>
          <w:bottom w:val="single" w:sz="2" w:space="0" w:color="878787"/>
          <w:right w:val="single" w:sz="2" w:space="0" w:color="878787"/>
          <w:insideH w:val="single" w:sz="2" w:space="0" w:color="878787"/>
          <w:insideV w:val="single" w:sz="2" w:space="0" w:color="87878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01"/>
        <w:gridCol w:w="1501"/>
        <w:gridCol w:w="5661"/>
      </w:tblGrid>
      <w:tr>
        <w:trPr>
          <w:trHeight w:val="362" w:hRule="atLeast"/>
        </w:trPr>
        <w:tc>
          <w:tcPr>
            <w:tcW w:w="2201" w:type="dxa"/>
            <w:shd w:val="clear" w:color="auto" w:fill="1F487C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Component</w:t>
            </w:r>
          </w:p>
        </w:tc>
        <w:tc>
          <w:tcPr>
            <w:tcW w:w="1501" w:type="dxa"/>
            <w:shd w:val="clear" w:color="auto" w:fill="1F487C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4"/>
                <w:sz w:val="18"/>
              </w:rPr>
              <w:t>Range</w:t>
            </w:r>
          </w:p>
        </w:tc>
        <w:tc>
          <w:tcPr>
            <w:tcW w:w="5661" w:type="dxa"/>
            <w:shd w:val="clear" w:color="auto" w:fill="1F487C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Description</w:t>
            </w:r>
          </w:p>
        </w:tc>
      </w:tr>
    </w:tbl>
    <w:p>
      <w:pPr>
        <w:pStyle w:val="TableParagraph"/>
        <w:spacing w:after="0"/>
        <w:rPr>
          <w:rFonts w:ascii="Arial"/>
          <w:b/>
          <w:sz w:val="18"/>
        </w:rPr>
        <w:sectPr>
          <w:pgSz w:w="12240" w:h="15840"/>
          <w:pgMar w:header="0" w:footer="707" w:top="1820" w:bottom="900" w:left="1080" w:right="1080"/>
        </w:sectPr>
      </w:pPr>
    </w:p>
    <w:tbl>
      <w:tblPr>
        <w:tblW w:w="0" w:type="auto"/>
        <w:jc w:val="left"/>
        <w:tblInd w:w="363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01"/>
        <w:gridCol w:w="1501"/>
        <w:gridCol w:w="5661"/>
      </w:tblGrid>
      <w:tr>
        <w:trPr>
          <w:trHeight w:val="777" w:hRule="atLeast"/>
        </w:trPr>
        <w:tc>
          <w:tcPr>
            <w:tcW w:w="2201" w:type="dxa"/>
            <w:shd w:val="clear" w:color="auto" w:fill="EBF3F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base_rate</w:t>
            </w:r>
          </w:p>
        </w:tc>
        <w:tc>
          <w:tcPr>
            <w:tcW w:w="1501" w:type="dxa"/>
            <w:shd w:val="clear" w:color="auto" w:fill="EBF3FA"/>
          </w:tcPr>
          <w:p>
            <w:pPr>
              <w:pStyle w:val="TableParagraph"/>
              <w:rPr>
                <w:sz w:val="18"/>
              </w:rPr>
            </w:pPr>
            <w:r>
              <w:rPr>
                <w:w w:val="80"/>
                <w:sz w:val="18"/>
              </w:rPr>
              <w:t>₹35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(fixed)</w:t>
            </w:r>
          </w:p>
        </w:tc>
        <w:tc>
          <w:tcPr>
            <w:tcW w:w="5661" w:type="dxa"/>
            <w:shd w:val="clear" w:color="auto" w:fill="EBF3FA"/>
          </w:tcPr>
          <w:p>
            <w:pPr>
              <w:pStyle w:val="TableParagraph"/>
              <w:ind w:right="84"/>
              <w:rPr>
                <w:sz w:val="18"/>
              </w:rPr>
            </w:pPr>
            <w:r>
              <w:rPr>
                <w:sz w:val="18"/>
              </w:rPr>
              <w:t>Fixed cost covering minimum operational expenses: API costs, server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hosting,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transaction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fees.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Represents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absolute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floor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price under ideal conditions.</w:t>
            </w:r>
          </w:p>
        </w:tc>
      </w:tr>
      <w:tr>
        <w:trPr>
          <w:trHeight w:val="777" w:hRule="atLeast"/>
        </w:trPr>
        <w:tc>
          <w:tcPr>
            <w:tcW w:w="220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zone_multiplier</w:t>
            </w:r>
          </w:p>
        </w:tc>
        <w:tc>
          <w:tcPr>
            <w:tcW w:w="150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0.80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–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1.40</w:t>
            </w:r>
          </w:p>
        </w:tc>
        <w:tc>
          <w:tcPr>
            <w:tcW w:w="5661" w:type="dxa"/>
          </w:tcPr>
          <w:p>
            <w:pPr>
              <w:pStyle w:val="TableParagraph"/>
              <w:ind w:right="84"/>
              <w:rPr>
                <w:sz w:val="18"/>
              </w:rPr>
            </w:pPr>
            <w:r>
              <w:rPr>
                <w:sz w:val="18"/>
              </w:rPr>
              <w:t>AI-computed long-term risk for the worker’s specific geographic zone,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trained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on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historical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weather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disruption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data.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Flood-prone coastal zones approach 1.40; dry inland zones fall below 1.0.</w:t>
            </w:r>
          </w:p>
        </w:tc>
      </w:tr>
      <w:tr>
        <w:trPr>
          <w:trHeight w:val="986" w:hRule="atLeast"/>
        </w:trPr>
        <w:tc>
          <w:tcPr>
            <w:tcW w:w="2201" w:type="dxa"/>
            <w:shd w:val="clear" w:color="auto" w:fill="EBF3FA"/>
          </w:tcPr>
          <w:p>
            <w:pPr>
              <w:pStyle w:val="TableParagraph"/>
              <w:spacing w:before="79"/>
              <w:rPr>
                <w:sz w:val="18"/>
              </w:rPr>
            </w:pPr>
            <w:r>
              <w:rPr>
                <w:spacing w:val="-2"/>
                <w:sz w:val="18"/>
              </w:rPr>
              <w:t>weather_multiplier</w:t>
            </w:r>
          </w:p>
        </w:tc>
        <w:tc>
          <w:tcPr>
            <w:tcW w:w="1501" w:type="dxa"/>
            <w:shd w:val="clear" w:color="auto" w:fill="EBF3FA"/>
          </w:tcPr>
          <w:p>
            <w:pPr>
              <w:pStyle w:val="TableParagraph"/>
              <w:spacing w:before="79"/>
              <w:rPr>
                <w:sz w:val="18"/>
              </w:rPr>
            </w:pPr>
            <w:r>
              <w:rPr>
                <w:sz w:val="18"/>
              </w:rPr>
              <w:t>0.90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–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1.30</w:t>
            </w:r>
          </w:p>
        </w:tc>
        <w:tc>
          <w:tcPr>
            <w:tcW w:w="5661" w:type="dxa"/>
            <w:shd w:val="clear" w:color="auto" w:fill="EBF3FA"/>
          </w:tcPr>
          <w:p>
            <w:pPr>
              <w:pStyle w:val="TableParagraph"/>
              <w:spacing w:before="79"/>
              <w:rPr>
                <w:sz w:val="18"/>
              </w:rPr>
            </w:pPr>
            <w:r>
              <w:rPr>
                <w:sz w:val="18"/>
              </w:rPr>
              <w:t>Short-term forward-looking adjustment based on the 7-day OpenWeatherMap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forecast.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Elevated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when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multiple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days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&gt;10mm rain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or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heatwave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are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predicted;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reduced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0.90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during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clear,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calm </w:t>
            </w:r>
            <w:r>
              <w:rPr>
                <w:spacing w:val="-2"/>
                <w:sz w:val="18"/>
              </w:rPr>
              <w:t>forecasts.</w:t>
            </w:r>
          </w:p>
        </w:tc>
      </w:tr>
      <w:tr>
        <w:trPr>
          <w:trHeight w:val="984" w:hRule="atLeast"/>
        </w:trPr>
        <w:tc>
          <w:tcPr>
            <w:tcW w:w="220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history_multiplier</w:t>
            </w:r>
          </w:p>
        </w:tc>
        <w:tc>
          <w:tcPr>
            <w:tcW w:w="150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0.85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–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1.25</w:t>
            </w:r>
          </w:p>
        </w:tc>
        <w:tc>
          <w:tcPr>
            <w:tcW w:w="5661" w:type="dxa"/>
          </w:tcPr>
          <w:p>
            <w:pPr>
              <w:pStyle w:val="TableParagraph"/>
              <w:ind w:right="168"/>
              <w:rPr>
                <w:sz w:val="18"/>
              </w:rPr>
            </w:pPr>
            <w:r>
              <w:rPr>
                <w:sz w:val="18"/>
              </w:rPr>
              <w:t>Personalises the premium based on claims history. New workers start at 1.0. Three consecutive claim-free months reduces the multiplier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by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0.05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(floor: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0.85).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More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than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3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claims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per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month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raises it (ceiling: 1.25).</w:t>
            </w:r>
          </w:p>
        </w:tc>
      </w:tr>
    </w:tbl>
    <w:p>
      <w:pPr>
        <w:pStyle w:val="BodyText"/>
        <w:spacing w:before="267"/>
        <w:rPr>
          <w:rFonts w:ascii="Courier New"/>
          <w:sz w:val="36"/>
        </w:rPr>
      </w:pPr>
    </w:p>
    <w:p>
      <w:pPr>
        <w:pStyle w:val="Heading1"/>
        <w:numPr>
          <w:ilvl w:val="0"/>
          <w:numId w:val="1"/>
        </w:numPr>
        <w:tabs>
          <w:tab w:pos="760" w:val="left" w:leader="none"/>
        </w:tabs>
        <w:spacing w:line="240" w:lineRule="auto" w:before="0" w:after="0"/>
        <w:ind w:left="760" w:right="0" w:hanging="400"/>
        <w:jc w:val="left"/>
      </w:pPr>
      <w:r>
        <w:rPr>
          <w:color w:val="1F487C"/>
        </w:rPr>
        <w:t>Coverage</w:t>
      </w:r>
      <w:r>
        <w:rPr>
          <w:color w:val="1F487C"/>
          <w:spacing w:val="-5"/>
        </w:rPr>
        <w:t> </w:t>
      </w:r>
      <w:r>
        <w:rPr>
          <w:color w:val="1F487C"/>
        </w:rPr>
        <w:t>Amount</w:t>
      </w:r>
      <w:r>
        <w:rPr>
          <w:color w:val="1F487C"/>
          <w:spacing w:val="-2"/>
        </w:rPr>
        <w:t> Calculation</w:t>
      </w:r>
    </w:p>
    <w:p>
      <w:pPr>
        <w:pStyle w:val="BodyText"/>
        <w:spacing w:before="10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896416</wp:posOffset>
                </wp:positionH>
                <wp:positionV relativeFrom="paragraph">
                  <wp:posOffset>50814</wp:posOffset>
                </wp:positionV>
                <wp:extent cx="5981065" cy="635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9810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635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81065" y="6096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87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4.001123pt;width:470.95pt;height:.48001pt;mso-position-horizontal-relative:page;mso-position-vertical-relative:paragraph;z-index:-15727616;mso-wrap-distance-left:0;mso-wrap-distance-right:0" id="docshape4" filled="true" fillcolor="#1f487c" stroked="false">
                <v:fill type="solid"/>
                <w10:wrap type="topAndBottom"/>
              </v:rect>
            </w:pict>
          </mc:Fallback>
        </mc:AlternateContent>
      </w:r>
    </w:p>
    <w:p>
      <w:pPr>
        <w:tabs>
          <w:tab w:pos="9750" w:val="left" w:leader="none"/>
        </w:tabs>
        <w:spacing w:before="157"/>
        <w:ind w:left="360" w:right="0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color w:val="000000"/>
          <w:sz w:val="18"/>
          <w:shd w:fill="F4F4F4" w:color="auto" w:val="clear"/>
        </w:rPr>
        <w:t>coverage_amount</w:t>
      </w:r>
      <w:r>
        <w:rPr>
          <w:rFonts w:ascii="Courier New" w:hAnsi="Courier New"/>
          <w:color w:val="000000"/>
          <w:spacing w:val="-7"/>
          <w:sz w:val="18"/>
          <w:shd w:fill="F4F4F4" w:color="auto" w:val="clear"/>
        </w:rPr>
        <w:t> </w:t>
      </w:r>
      <w:r>
        <w:rPr>
          <w:rFonts w:ascii="Courier New" w:hAnsi="Courier New"/>
          <w:color w:val="000000"/>
          <w:sz w:val="18"/>
          <w:shd w:fill="F4F4F4" w:color="auto" w:val="clear"/>
        </w:rPr>
        <w:t>=</w:t>
      </w:r>
      <w:r>
        <w:rPr>
          <w:rFonts w:ascii="Courier New" w:hAnsi="Courier New"/>
          <w:color w:val="000000"/>
          <w:spacing w:val="-7"/>
          <w:sz w:val="18"/>
          <w:shd w:fill="F4F4F4" w:color="auto" w:val="clear"/>
        </w:rPr>
        <w:t> </w:t>
      </w:r>
      <w:r>
        <w:rPr>
          <w:rFonts w:ascii="Courier New" w:hAnsi="Courier New"/>
          <w:color w:val="000000"/>
          <w:sz w:val="18"/>
          <w:shd w:fill="F4F4F4" w:color="auto" w:val="clear"/>
        </w:rPr>
        <w:t>avg_daily_earning</w:t>
      </w:r>
      <w:r>
        <w:rPr>
          <w:rFonts w:ascii="Courier New" w:hAnsi="Courier New"/>
          <w:color w:val="000000"/>
          <w:spacing w:val="-7"/>
          <w:sz w:val="18"/>
          <w:shd w:fill="F4F4F4" w:color="auto" w:val="clear"/>
        </w:rPr>
        <w:t> </w:t>
      </w:r>
      <w:r>
        <w:rPr>
          <w:rFonts w:ascii="Courier New" w:hAnsi="Courier New"/>
          <w:color w:val="000000"/>
          <w:sz w:val="18"/>
          <w:shd w:fill="F4F4F4" w:color="auto" w:val="clear"/>
        </w:rPr>
        <w:t>×</w:t>
      </w:r>
      <w:r>
        <w:rPr>
          <w:rFonts w:ascii="Courier New" w:hAnsi="Courier New"/>
          <w:color w:val="000000"/>
          <w:spacing w:val="-7"/>
          <w:sz w:val="18"/>
          <w:shd w:fill="F4F4F4" w:color="auto" w:val="clear"/>
        </w:rPr>
        <w:t> </w:t>
      </w:r>
      <w:r>
        <w:rPr>
          <w:rFonts w:ascii="Courier New" w:hAnsi="Courier New"/>
          <w:color w:val="000000"/>
          <w:sz w:val="18"/>
          <w:shd w:fill="F4F4F4" w:color="auto" w:val="clear"/>
        </w:rPr>
        <w:t>(disruption_hours</w:t>
      </w:r>
      <w:r>
        <w:rPr>
          <w:rFonts w:ascii="Courier New" w:hAnsi="Courier New"/>
          <w:color w:val="000000"/>
          <w:spacing w:val="-7"/>
          <w:sz w:val="18"/>
          <w:shd w:fill="F4F4F4" w:color="auto" w:val="clear"/>
        </w:rPr>
        <w:t> </w:t>
      </w:r>
      <w:r>
        <w:rPr>
          <w:rFonts w:ascii="Courier New" w:hAnsi="Courier New"/>
          <w:color w:val="000000"/>
          <w:sz w:val="18"/>
          <w:shd w:fill="F4F4F4" w:color="auto" w:val="clear"/>
        </w:rPr>
        <w:t>/</w:t>
      </w:r>
      <w:r>
        <w:rPr>
          <w:rFonts w:ascii="Courier New" w:hAnsi="Courier New"/>
          <w:color w:val="000000"/>
          <w:spacing w:val="-7"/>
          <w:sz w:val="18"/>
          <w:shd w:fill="F4F4F4" w:color="auto" w:val="clear"/>
        </w:rPr>
        <w:t> </w:t>
      </w:r>
      <w:r>
        <w:rPr>
          <w:rFonts w:ascii="Courier New" w:hAnsi="Courier New"/>
          <w:color w:val="000000"/>
          <w:sz w:val="18"/>
          <w:shd w:fill="F4F4F4" w:color="auto" w:val="clear"/>
        </w:rPr>
        <w:t>8)</w:t>
      </w:r>
      <w:r>
        <w:rPr>
          <w:rFonts w:ascii="Courier New" w:hAnsi="Courier New"/>
          <w:color w:val="000000"/>
          <w:spacing w:val="-7"/>
          <w:sz w:val="18"/>
          <w:shd w:fill="F4F4F4" w:color="auto" w:val="clear"/>
        </w:rPr>
        <w:t> </w:t>
      </w:r>
      <w:r>
        <w:rPr>
          <w:rFonts w:ascii="Courier New" w:hAnsi="Courier New"/>
          <w:color w:val="000000"/>
          <w:sz w:val="18"/>
          <w:shd w:fill="F4F4F4" w:color="auto" w:val="clear"/>
        </w:rPr>
        <w:t>×</w:t>
      </w:r>
      <w:r>
        <w:rPr>
          <w:rFonts w:ascii="Courier New" w:hAnsi="Courier New"/>
          <w:color w:val="000000"/>
          <w:spacing w:val="-6"/>
          <w:sz w:val="18"/>
          <w:shd w:fill="F4F4F4" w:color="auto" w:val="clear"/>
        </w:rPr>
        <w:t> </w:t>
      </w:r>
      <w:r>
        <w:rPr>
          <w:rFonts w:ascii="Courier New" w:hAnsi="Courier New"/>
          <w:color w:val="000000"/>
          <w:spacing w:val="-5"/>
          <w:sz w:val="18"/>
          <w:shd w:fill="F4F4F4" w:color="auto" w:val="clear"/>
        </w:rPr>
        <w:t>0.8</w:t>
      </w:r>
      <w:r>
        <w:rPr>
          <w:rFonts w:ascii="Courier New" w:hAnsi="Courier New"/>
          <w:color w:val="000000"/>
          <w:sz w:val="18"/>
          <w:shd w:fill="F4F4F4" w:color="auto" w:val="clear"/>
        </w:rPr>
        <w:tab/>
      </w:r>
    </w:p>
    <w:p>
      <w:pPr>
        <w:pStyle w:val="BodyText"/>
        <w:spacing w:before="49"/>
        <w:rPr>
          <w:rFonts w:ascii="Courier New"/>
          <w:sz w:val="18"/>
        </w:rPr>
      </w:pPr>
    </w:p>
    <w:p>
      <w:pPr>
        <w:pStyle w:val="BodyText"/>
        <w:ind w:left="360" w:right="447"/>
      </w:pPr>
      <w:r>
        <w:rPr/>
        <w:t>The</w:t>
      </w:r>
      <w:r>
        <w:rPr>
          <w:spacing w:val="-2"/>
        </w:rPr>
        <w:t> </w:t>
      </w:r>
      <w:r>
        <w:rPr/>
        <w:t>80%</w:t>
      </w:r>
      <w:r>
        <w:rPr>
          <w:spacing w:val="-3"/>
        </w:rPr>
        <w:t> </w:t>
      </w:r>
      <w:r>
        <w:rPr/>
        <w:t>replacement</w:t>
      </w:r>
      <w:r>
        <w:rPr>
          <w:spacing w:val="-3"/>
        </w:rPr>
        <w:t> </w:t>
      </w:r>
      <w:r>
        <w:rPr/>
        <w:t>rate</w:t>
      </w:r>
      <w:r>
        <w:rPr>
          <w:spacing w:val="-2"/>
        </w:rPr>
        <w:t> </w:t>
      </w:r>
      <w:r>
        <w:rPr/>
        <w:t>is</w:t>
      </w:r>
      <w:r>
        <w:rPr>
          <w:spacing w:val="-4"/>
        </w:rPr>
        <w:t> </w:t>
      </w:r>
      <w:r>
        <w:rPr/>
        <w:t>standard</w:t>
      </w:r>
      <w:r>
        <w:rPr>
          <w:spacing w:val="-2"/>
        </w:rPr>
        <w:t> </w:t>
      </w:r>
      <w:r>
        <w:rPr/>
        <w:t>insurance</w:t>
      </w:r>
      <w:r>
        <w:rPr>
          <w:spacing w:val="-4"/>
        </w:rPr>
        <w:t> </w:t>
      </w:r>
      <w:r>
        <w:rPr/>
        <w:t>practice.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creates</w:t>
      </w:r>
      <w:r>
        <w:rPr>
          <w:spacing w:val="-4"/>
        </w:rPr>
        <w:t> </w:t>
      </w:r>
      <w:r>
        <w:rPr/>
        <w:t>a</w:t>
      </w:r>
      <w:r>
        <w:rPr>
          <w:spacing w:val="-2"/>
        </w:rPr>
        <w:t> </w:t>
      </w:r>
      <w:r>
        <w:rPr/>
        <w:t>co-participation</w:t>
      </w:r>
      <w:r>
        <w:rPr>
          <w:spacing w:val="-2"/>
        </w:rPr>
        <w:t> </w:t>
      </w:r>
      <w:r>
        <w:rPr/>
        <w:t>in</w:t>
      </w:r>
      <w:r>
        <w:rPr>
          <w:spacing w:val="-4"/>
        </w:rPr>
        <w:t> </w:t>
      </w:r>
      <w:r>
        <w:rPr/>
        <w:t>the loss that reduces moral hazard (the temptation not to work even if safe to do so) and keeps premiums affordable for everyone.</w:t>
      </w:r>
    </w:p>
    <w:p>
      <w:pPr>
        <w:pStyle w:val="BodyText"/>
        <w:spacing w:before="121"/>
      </w:pPr>
    </w:p>
    <w:p>
      <w:pPr>
        <w:pStyle w:val="BodyText"/>
        <w:ind w:left="360" w:right="217"/>
      </w:pPr>
      <w:r>
        <w:rPr/>
        <w:t>A</w:t>
      </w:r>
      <w:r>
        <w:rPr>
          <w:spacing w:val="-9"/>
        </w:rPr>
        <w:t> </w:t>
      </w:r>
      <w:r>
        <w:rPr/>
        <w:t>hard</w:t>
      </w:r>
      <w:r>
        <w:rPr>
          <w:spacing w:val="-9"/>
        </w:rPr>
        <w:t> </w:t>
      </w:r>
      <w:r>
        <w:rPr/>
        <w:t>weekly</w:t>
      </w:r>
      <w:r>
        <w:rPr>
          <w:spacing w:val="-11"/>
        </w:rPr>
        <w:t> </w:t>
      </w:r>
      <w:r>
        <w:rPr/>
        <w:t>cap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/>
        <w:t>₹800</w:t>
      </w:r>
      <w:r>
        <w:rPr>
          <w:spacing w:val="-9"/>
        </w:rPr>
        <w:t> </w:t>
      </w:r>
      <w:r>
        <w:rPr/>
        <w:t>per</w:t>
      </w:r>
      <w:r>
        <w:rPr>
          <w:spacing w:val="-10"/>
        </w:rPr>
        <w:t> </w:t>
      </w:r>
      <w:r>
        <w:rPr/>
        <w:t>worker</w:t>
      </w:r>
      <w:r>
        <w:rPr>
          <w:spacing w:val="-8"/>
        </w:rPr>
        <w:t> </w:t>
      </w:r>
      <w:r>
        <w:rPr/>
        <w:t>limits</w:t>
      </w:r>
      <w:r>
        <w:rPr>
          <w:spacing w:val="-11"/>
        </w:rPr>
        <w:t> </w:t>
      </w:r>
      <w:r>
        <w:rPr/>
        <w:t>catastrophic</w:t>
      </w:r>
      <w:r>
        <w:rPr>
          <w:spacing w:val="-11"/>
        </w:rPr>
        <w:t> </w:t>
      </w:r>
      <w:r>
        <w:rPr/>
        <w:t>exposure</w:t>
      </w:r>
      <w:r>
        <w:rPr>
          <w:spacing w:val="-11"/>
        </w:rPr>
        <w:t> </w:t>
      </w:r>
      <w:r>
        <w:rPr/>
        <w:t>during</w:t>
      </w:r>
      <w:r>
        <w:rPr>
          <w:spacing w:val="-11"/>
        </w:rPr>
        <w:t> </w:t>
      </w:r>
      <w:r>
        <w:rPr/>
        <w:t>multi-day</w:t>
      </w:r>
      <w:r>
        <w:rPr>
          <w:spacing w:val="-8"/>
        </w:rPr>
        <w:t> </w:t>
      </w:r>
      <w:r>
        <w:rPr/>
        <w:t>events</w:t>
      </w:r>
      <w:r>
        <w:rPr>
          <w:spacing w:val="-11"/>
        </w:rPr>
        <w:t> </w:t>
      </w:r>
      <w:r>
        <w:rPr/>
        <w:t>such as week-long floods. This cap is the primary risk control that makes the financial model sustainable at scale.</w:t>
      </w:r>
    </w:p>
    <w:p>
      <w:pPr>
        <w:pStyle w:val="BodyText"/>
        <w:spacing w:before="144"/>
        <w:rPr>
          <w:sz w:val="20"/>
        </w:rPr>
      </w:pPr>
    </w:p>
    <w:tbl>
      <w:tblPr>
        <w:tblW w:w="0" w:type="auto"/>
        <w:jc w:val="left"/>
        <w:tblInd w:w="363" w:type="dxa"/>
        <w:tblBorders>
          <w:top w:val="single" w:sz="2" w:space="0" w:color="878787"/>
          <w:left w:val="single" w:sz="2" w:space="0" w:color="878787"/>
          <w:bottom w:val="single" w:sz="2" w:space="0" w:color="878787"/>
          <w:right w:val="single" w:sz="2" w:space="0" w:color="878787"/>
          <w:insideH w:val="single" w:sz="2" w:space="0" w:color="878787"/>
          <w:insideV w:val="single" w:sz="2" w:space="0" w:color="87878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01"/>
        <w:gridCol w:w="2201"/>
        <w:gridCol w:w="4359"/>
      </w:tblGrid>
      <w:tr>
        <w:trPr>
          <w:trHeight w:val="362" w:hRule="atLeast"/>
        </w:trPr>
        <w:tc>
          <w:tcPr>
            <w:tcW w:w="2801" w:type="dxa"/>
            <w:shd w:val="clear" w:color="auto" w:fill="1F487C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Trigger</w:t>
            </w:r>
            <w:r>
              <w:rPr>
                <w:rFonts w:ascii="Arial"/>
                <w:b/>
                <w:color w:val="FFFFFF"/>
                <w:spacing w:val="-3"/>
                <w:sz w:val="18"/>
              </w:rPr>
              <w:t>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type</w:t>
            </w:r>
          </w:p>
        </w:tc>
        <w:tc>
          <w:tcPr>
            <w:tcW w:w="2201" w:type="dxa"/>
            <w:shd w:val="clear" w:color="auto" w:fill="1F487C"/>
          </w:tcPr>
          <w:p>
            <w:pPr>
              <w:pStyle w:val="TableParagraph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Disruption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 hours</w:t>
            </w:r>
          </w:p>
        </w:tc>
        <w:tc>
          <w:tcPr>
            <w:tcW w:w="4359" w:type="dxa"/>
            <w:shd w:val="clear" w:color="auto" w:fill="1F487C"/>
          </w:tcPr>
          <w:p>
            <w:pPr>
              <w:pStyle w:val="TableParagraph"/>
              <w:ind w:left="12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Example</w:t>
            </w:r>
            <w:r>
              <w:rPr>
                <w:rFonts w:ascii="Arial" w:hAnsi="Arial"/>
                <w:b/>
                <w:color w:val="FFFFFF"/>
                <w:spacing w:val="-5"/>
                <w:sz w:val="18"/>
              </w:rPr>
              <w:t> </w:t>
            </w:r>
            <w:r>
              <w:rPr>
                <w:rFonts w:ascii="Arial" w:hAnsi="Arial"/>
                <w:b/>
                <w:color w:val="FFFFFF"/>
                <w:sz w:val="18"/>
              </w:rPr>
              <w:t>payout</w:t>
            </w:r>
            <w:r>
              <w:rPr>
                <w:rFonts w:ascii="Arial" w:hAnsi="Arial"/>
                <w:b/>
                <w:color w:val="FFFFFF"/>
                <w:spacing w:val="-3"/>
                <w:sz w:val="18"/>
              </w:rPr>
              <w:t> </w:t>
            </w:r>
            <w:r>
              <w:rPr>
                <w:rFonts w:ascii="Arial" w:hAnsi="Arial"/>
                <w:b/>
                <w:color w:val="FFFFFF"/>
                <w:sz w:val="18"/>
              </w:rPr>
              <w:t>(₹800/day</w:t>
            </w:r>
            <w:r>
              <w:rPr>
                <w:rFonts w:ascii="Arial" w:hAnsi="Arial"/>
                <w:b/>
                <w:color w:val="FFFFFF"/>
                <w:spacing w:val="-4"/>
                <w:sz w:val="18"/>
              </w:rPr>
              <w:t> 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worker)</w:t>
            </w:r>
          </w:p>
        </w:tc>
      </w:tr>
      <w:tr>
        <w:trPr>
          <w:trHeight w:val="364" w:hRule="atLeast"/>
        </w:trPr>
        <w:tc>
          <w:tcPr>
            <w:tcW w:w="2801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TableParagraph"/>
              <w:spacing w:before="79"/>
              <w:rPr>
                <w:sz w:val="18"/>
              </w:rPr>
            </w:pPr>
            <w:r>
              <w:rPr>
                <w:sz w:val="18"/>
              </w:rPr>
              <w:t>Heavy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Rainfall</w:t>
            </w:r>
          </w:p>
        </w:tc>
        <w:tc>
          <w:tcPr>
            <w:tcW w:w="2201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TableParagraph"/>
              <w:spacing w:before="79"/>
              <w:ind w:left="120"/>
              <w:rPr>
                <w:sz w:val="18"/>
              </w:rPr>
            </w:pPr>
            <w:r>
              <w:rPr>
                <w:sz w:val="18"/>
              </w:rPr>
              <w:t>4 </w:t>
            </w:r>
            <w:r>
              <w:rPr>
                <w:spacing w:val="-2"/>
                <w:sz w:val="18"/>
              </w:rPr>
              <w:t>hours</w:t>
            </w:r>
          </w:p>
        </w:tc>
        <w:tc>
          <w:tcPr>
            <w:tcW w:w="4359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TableParagraph"/>
              <w:spacing w:before="79"/>
              <w:ind w:left="120"/>
              <w:rPr>
                <w:sz w:val="18"/>
              </w:rPr>
            </w:pPr>
            <w:r>
              <w:rPr>
                <w:sz w:val="18"/>
              </w:rPr>
              <w:t>₹800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÷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8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×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4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×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0.8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=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4"/>
                <w:sz w:val="18"/>
              </w:rPr>
              <w:t>₹320</w:t>
            </w:r>
          </w:p>
        </w:tc>
      </w:tr>
      <w:tr>
        <w:trPr>
          <w:trHeight w:val="364" w:hRule="atLeast"/>
        </w:trPr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Severe</w:t>
            </w:r>
            <w:r>
              <w:rPr>
                <w:spacing w:val="-5"/>
                <w:sz w:val="18"/>
              </w:rPr>
              <w:t> AQI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>
            <w:pPr>
              <w:pStyle w:val="TableParagraph"/>
              <w:ind w:left="120"/>
              <w:rPr>
                <w:sz w:val="18"/>
              </w:rPr>
            </w:pPr>
            <w:r>
              <w:rPr>
                <w:sz w:val="18"/>
              </w:rPr>
              <w:t>5 </w:t>
            </w:r>
            <w:r>
              <w:rPr>
                <w:spacing w:val="-2"/>
                <w:sz w:val="18"/>
              </w:rPr>
              <w:t>hours</w:t>
            </w:r>
          </w:p>
        </w:tc>
        <w:tc>
          <w:tcPr>
            <w:tcW w:w="4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>
            <w:pPr>
              <w:pStyle w:val="TableParagraph"/>
              <w:ind w:left="120"/>
              <w:rPr>
                <w:sz w:val="18"/>
              </w:rPr>
            </w:pPr>
            <w:r>
              <w:rPr>
                <w:sz w:val="18"/>
              </w:rPr>
              <w:t>₹800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÷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8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×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5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×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0.8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=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4"/>
                <w:sz w:val="18"/>
              </w:rPr>
              <w:t>₹400</w:t>
            </w:r>
          </w:p>
        </w:tc>
      </w:tr>
      <w:tr>
        <w:trPr>
          <w:trHeight w:val="364" w:hRule="atLeast"/>
        </w:trPr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Extreme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Heat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TableParagraph"/>
              <w:ind w:left="120"/>
              <w:rPr>
                <w:sz w:val="18"/>
              </w:rPr>
            </w:pPr>
            <w:r>
              <w:rPr>
                <w:sz w:val="18"/>
              </w:rPr>
              <w:t>4 </w:t>
            </w:r>
            <w:r>
              <w:rPr>
                <w:spacing w:val="-2"/>
                <w:sz w:val="18"/>
              </w:rPr>
              <w:t>hours</w:t>
            </w:r>
          </w:p>
        </w:tc>
        <w:tc>
          <w:tcPr>
            <w:tcW w:w="4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TableParagraph"/>
              <w:ind w:left="120"/>
              <w:rPr>
                <w:sz w:val="18"/>
              </w:rPr>
            </w:pPr>
            <w:r>
              <w:rPr>
                <w:sz w:val="18"/>
              </w:rPr>
              <w:t>₹800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÷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8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×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4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×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0.8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=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4"/>
                <w:sz w:val="18"/>
              </w:rPr>
              <w:t>₹320</w:t>
            </w:r>
          </w:p>
        </w:tc>
      </w:tr>
      <w:tr>
        <w:trPr>
          <w:trHeight w:val="362" w:hRule="atLeast"/>
        </w:trPr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Flood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/ Red </w:t>
            </w:r>
            <w:r>
              <w:rPr>
                <w:spacing w:val="-2"/>
                <w:sz w:val="18"/>
              </w:rPr>
              <w:t>Alert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>
            <w:pPr>
              <w:pStyle w:val="TableParagraph"/>
              <w:ind w:left="120"/>
              <w:rPr>
                <w:sz w:val="18"/>
              </w:rPr>
            </w:pPr>
            <w:r>
              <w:rPr>
                <w:sz w:val="18"/>
              </w:rPr>
              <w:t>8 </w:t>
            </w:r>
            <w:r>
              <w:rPr>
                <w:spacing w:val="-2"/>
                <w:sz w:val="18"/>
              </w:rPr>
              <w:t>hours</w:t>
            </w:r>
          </w:p>
        </w:tc>
        <w:tc>
          <w:tcPr>
            <w:tcW w:w="4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>
            <w:pPr>
              <w:pStyle w:val="TableParagraph"/>
              <w:ind w:left="120"/>
              <w:rPr>
                <w:sz w:val="18"/>
              </w:rPr>
            </w:pPr>
            <w:r>
              <w:rPr>
                <w:spacing w:val="-8"/>
                <w:sz w:val="18"/>
              </w:rPr>
              <w:t>₹800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8"/>
                <w:sz w:val="18"/>
              </w:rPr>
              <w:t>÷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8"/>
                <w:sz w:val="18"/>
              </w:rPr>
              <w:t>8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8"/>
                <w:sz w:val="18"/>
              </w:rPr>
              <w:t>×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8"/>
                <w:sz w:val="18"/>
              </w:rPr>
              <w:t>8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8"/>
                <w:sz w:val="18"/>
              </w:rPr>
              <w:t>×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8"/>
                <w:sz w:val="18"/>
              </w:rPr>
              <w:t>0.8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8"/>
                <w:sz w:val="18"/>
              </w:rPr>
              <w:t>=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8"/>
                <w:sz w:val="18"/>
              </w:rPr>
              <w:t>₹640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8"/>
                <w:sz w:val="18"/>
              </w:rPr>
              <w:t>(capped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8"/>
                <w:sz w:val="18"/>
              </w:rPr>
              <w:t>at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8"/>
                <w:sz w:val="18"/>
              </w:rPr>
              <w:t>₹640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8"/>
                <w:sz w:val="18"/>
              </w:rPr>
              <w:t>here)</w:t>
            </w:r>
          </w:p>
        </w:tc>
      </w:tr>
      <w:tr>
        <w:trPr>
          <w:trHeight w:val="364" w:hRule="atLeast"/>
        </w:trPr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Curfew / </w:t>
            </w:r>
            <w:r>
              <w:rPr>
                <w:spacing w:val="-2"/>
                <w:sz w:val="18"/>
              </w:rPr>
              <w:t>Strike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TableParagraph"/>
              <w:ind w:left="120"/>
              <w:rPr>
                <w:sz w:val="18"/>
              </w:rPr>
            </w:pPr>
            <w:r>
              <w:rPr>
                <w:sz w:val="18"/>
              </w:rPr>
              <w:t>8 </w:t>
            </w:r>
            <w:r>
              <w:rPr>
                <w:spacing w:val="-2"/>
                <w:sz w:val="18"/>
              </w:rPr>
              <w:t>hours</w:t>
            </w:r>
          </w:p>
        </w:tc>
        <w:tc>
          <w:tcPr>
            <w:tcW w:w="4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TableParagraph"/>
              <w:ind w:left="120"/>
              <w:rPr>
                <w:sz w:val="18"/>
              </w:rPr>
            </w:pPr>
            <w:r>
              <w:rPr>
                <w:spacing w:val="-8"/>
                <w:sz w:val="18"/>
              </w:rPr>
              <w:t>₹800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8"/>
                <w:sz w:val="18"/>
              </w:rPr>
              <w:t>÷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8"/>
                <w:sz w:val="18"/>
              </w:rPr>
              <w:t>8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8"/>
                <w:sz w:val="18"/>
              </w:rPr>
              <w:t>×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8"/>
                <w:sz w:val="18"/>
              </w:rPr>
              <w:t>8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8"/>
                <w:sz w:val="18"/>
              </w:rPr>
              <w:t>×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8"/>
                <w:sz w:val="18"/>
              </w:rPr>
              <w:t>0.8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8"/>
                <w:sz w:val="18"/>
              </w:rPr>
              <w:t>=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8"/>
                <w:sz w:val="18"/>
              </w:rPr>
              <w:t>₹640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8"/>
                <w:sz w:val="18"/>
              </w:rPr>
              <w:t>(capped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8"/>
                <w:sz w:val="18"/>
              </w:rPr>
              <w:t>at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8"/>
                <w:sz w:val="18"/>
              </w:rPr>
              <w:t>₹640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8"/>
                <w:sz w:val="18"/>
              </w:rPr>
              <w:t>here)</w:t>
            </w:r>
          </w:p>
        </w:tc>
      </w:tr>
    </w:tbl>
    <w:p>
      <w:pPr>
        <w:pStyle w:val="BodyText"/>
      </w:pPr>
    </w:p>
    <w:p>
      <w:pPr>
        <w:pStyle w:val="BodyText"/>
        <w:spacing w:before="148"/>
      </w:pPr>
    </w:p>
    <w:p>
      <w:pPr>
        <w:pStyle w:val="Heading1"/>
        <w:numPr>
          <w:ilvl w:val="0"/>
          <w:numId w:val="1"/>
        </w:numPr>
        <w:tabs>
          <w:tab w:pos="760" w:val="left" w:leader="none"/>
        </w:tabs>
        <w:spacing w:line="240" w:lineRule="auto" w:before="0" w:after="0"/>
        <w:ind w:left="760" w:right="0" w:hanging="400"/>
        <w:jc w:val="left"/>
      </w:pPr>
      <w:r>
        <w:rPr>
          <w:color w:val="1F487C"/>
        </w:rPr>
        <w:t>Worked</w:t>
      </w:r>
      <w:r>
        <w:rPr>
          <w:color w:val="1F487C"/>
          <w:spacing w:val="-5"/>
        </w:rPr>
        <w:t> </w:t>
      </w:r>
      <w:r>
        <w:rPr>
          <w:color w:val="1F487C"/>
          <w:spacing w:val="-2"/>
        </w:rPr>
        <w:t>Examples</w:t>
      </w:r>
    </w:p>
    <w:p>
      <w:pPr>
        <w:pStyle w:val="BodyText"/>
        <w:rPr>
          <w:rFonts w:ascii="Arial"/>
          <w:b/>
          <w:sz w:val="5"/>
        </w:rPr>
      </w:pPr>
      <w:r>
        <w:rPr>
          <w:rFonts w:ascii="Arial"/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896416</wp:posOffset>
                </wp:positionH>
                <wp:positionV relativeFrom="paragraph">
                  <wp:posOffset>52373</wp:posOffset>
                </wp:positionV>
                <wp:extent cx="5981065" cy="635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9810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635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981065" y="6095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87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4.123926pt;width:470.95pt;height:.47998pt;mso-position-horizontal-relative:page;mso-position-vertical-relative:paragraph;z-index:-15727104;mso-wrap-distance-left:0;mso-wrap-distance-right:0" id="docshape5" filled="true" fillcolor="#1f487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spacing w:before="318"/>
        <w:ind w:firstLine="0"/>
      </w:pPr>
      <w:r>
        <w:rPr>
          <w:color w:val="2D75B6"/>
        </w:rPr>
        <w:t>Persona</w:t>
      </w:r>
      <w:r>
        <w:rPr>
          <w:color w:val="2D75B6"/>
          <w:spacing w:val="-4"/>
        </w:rPr>
        <w:t> </w:t>
      </w:r>
      <w:r>
        <w:rPr>
          <w:color w:val="2D75B6"/>
        </w:rPr>
        <w:t>1:</w:t>
      </w:r>
      <w:r>
        <w:rPr>
          <w:color w:val="2D75B6"/>
          <w:spacing w:val="-9"/>
        </w:rPr>
        <w:t> </w:t>
      </w:r>
      <w:r>
        <w:rPr>
          <w:color w:val="2D75B6"/>
        </w:rPr>
        <w:t>Ramesh</w:t>
      </w:r>
      <w:r>
        <w:rPr>
          <w:color w:val="2D75B6"/>
          <w:spacing w:val="-5"/>
        </w:rPr>
        <w:t> </w:t>
      </w:r>
      <w:r>
        <w:rPr>
          <w:color w:val="2D75B6"/>
        </w:rPr>
        <w:t>Kumar</w:t>
      </w:r>
      <w:r>
        <w:rPr>
          <w:color w:val="2D75B6"/>
          <w:spacing w:val="-3"/>
        </w:rPr>
        <w:t> </w:t>
      </w:r>
      <w:r>
        <w:rPr>
          <w:color w:val="2D75B6"/>
          <w:spacing w:val="-2"/>
        </w:rPr>
        <w:t>(Delhi)</w:t>
      </w:r>
    </w:p>
    <w:p>
      <w:pPr>
        <w:pStyle w:val="BodyText"/>
        <w:spacing w:before="3"/>
        <w:rPr>
          <w:rFonts w:ascii="Arial"/>
          <w:b/>
          <w:sz w:val="10"/>
        </w:rPr>
      </w:pPr>
    </w:p>
    <w:tbl>
      <w:tblPr>
        <w:tblW w:w="0" w:type="auto"/>
        <w:jc w:val="left"/>
        <w:tblInd w:w="363" w:type="dxa"/>
        <w:tblBorders>
          <w:top w:val="single" w:sz="2" w:space="0" w:color="878787"/>
          <w:left w:val="single" w:sz="2" w:space="0" w:color="878787"/>
          <w:bottom w:val="single" w:sz="2" w:space="0" w:color="878787"/>
          <w:right w:val="single" w:sz="2" w:space="0" w:color="878787"/>
          <w:insideH w:val="single" w:sz="2" w:space="0" w:color="878787"/>
          <w:insideV w:val="single" w:sz="2" w:space="0" w:color="87878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02"/>
        <w:gridCol w:w="5859"/>
      </w:tblGrid>
      <w:tr>
        <w:trPr>
          <w:trHeight w:val="364" w:hRule="atLeast"/>
        </w:trPr>
        <w:tc>
          <w:tcPr>
            <w:tcW w:w="3502" w:type="dxa"/>
            <w:shd w:val="clear" w:color="auto" w:fill="1F487C"/>
          </w:tcPr>
          <w:p>
            <w:pPr>
              <w:pStyle w:val="TableParagraph"/>
              <w:spacing w:before="7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Input</w:t>
            </w:r>
          </w:p>
        </w:tc>
        <w:tc>
          <w:tcPr>
            <w:tcW w:w="5859" w:type="dxa"/>
            <w:shd w:val="clear" w:color="auto" w:fill="1F487C"/>
          </w:tcPr>
          <w:p>
            <w:pPr>
              <w:pStyle w:val="TableParagraph"/>
              <w:spacing w:before="79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Value</w:t>
            </w:r>
          </w:p>
        </w:tc>
      </w:tr>
      <w:tr>
        <w:trPr>
          <w:trHeight w:val="364" w:hRule="atLeast"/>
        </w:trPr>
        <w:tc>
          <w:tcPr>
            <w:tcW w:w="3502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Average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daily</w:t>
            </w:r>
            <w:r>
              <w:rPr>
                <w:spacing w:val="-2"/>
                <w:sz w:val="18"/>
              </w:rPr>
              <w:t> earning</w:t>
            </w:r>
          </w:p>
        </w:tc>
        <w:tc>
          <w:tcPr>
            <w:tcW w:w="5859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A"/>
          </w:tcPr>
          <w:p>
            <w:pPr>
              <w:pStyle w:val="TableParagraph"/>
              <w:ind w:left="120"/>
              <w:rPr>
                <w:sz w:val="18"/>
              </w:rPr>
            </w:pPr>
            <w:r>
              <w:rPr>
                <w:spacing w:val="-4"/>
                <w:sz w:val="18"/>
              </w:rPr>
              <w:t>₹750</w:t>
            </w:r>
          </w:p>
        </w:tc>
      </w:tr>
      <w:tr>
        <w:trPr>
          <w:trHeight w:val="364" w:hRule="atLeast"/>
        </w:trPr>
        <w:tc>
          <w:tcPr>
            <w:tcW w:w="35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Zone</w:t>
            </w:r>
          </w:p>
        </w:tc>
        <w:tc>
          <w:tcPr>
            <w:tcW w:w="5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TableParagraph"/>
              <w:ind w:left="120"/>
              <w:rPr>
                <w:sz w:val="18"/>
              </w:rPr>
            </w:pPr>
            <w:r>
              <w:rPr>
                <w:sz w:val="18"/>
              </w:rPr>
              <w:t>Connaught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Place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→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zone_multiplier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=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1.30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type w:val="continuous"/>
          <w:pgSz w:w="12240" w:h="15840"/>
          <w:pgMar w:header="0" w:footer="707" w:top="1420" w:bottom="1384" w:left="1080" w:right="1080"/>
        </w:sectPr>
      </w:pPr>
    </w:p>
    <w:tbl>
      <w:tblPr>
        <w:tblW w:w="0" w:type="auto"/>
        <w:jc w:val="left"/>
        <w:tblInd w:w="363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02"/>
        <w:gridCol w:w="5859"/>
      </w:tblGrid>
      <w:tr>
        <w:trPr>
          <w:trHeight w:val="365" w:hRule="atLeast"/>
        </w:trPr>
        <w:tc>
          <w:tcPr>
            <w:tcW w:w="3502" w:type="dxa"/>
            <w:shd w:val="clear" w:color="auto" w:fill="EBF3F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Forecast</w:t>
            </w:r>
          </w:p>
        </w:tc>
        <w:tc>
          <w:tcPr>
            <w:tcW w:w="5859" w:type="dxa"/>
            <w:shd w:val="clear" w:color="auto" w:fill="EBF3FA"/>
          </w:tcPr>
          <w:p>
            <w:pPr>
              <w:pStyle w:val="TableParagraph"/>
              <w:ind w:left="120"/>
              <w:rPr>
                <w:sz w:val="18"/>
              </w:rPr>
            </w:pPr>
            <w:r>
              <w:rPr>
                <w:sz w:val="18"/>
              </w:rPr>
              <w:t>Impending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heatwave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→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weather_multiplier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=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1.20</w:t>
            </w:r>
          </w:p>
        </w:tc>
      </w:tr>
      <w:tr>
        <w:trPr>
          <w:trHeight w:val="362" w:hRule="atLeast"/>
        </w:trPr>
        <w:tc>
          <w:tcPr>
            <w:tcW w:w="350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History</w:t>
            </w:r>
          </w:p>
        </w:tc>
        <w:tc>
          <w:tcPr>
            <w:tcW w:w="5859" w:type="dxa"/>
          </w:tcPr>
          <w:p>
            <w:pPr>
              <w:pStyle w:val="TableParagraph"/>
              <w:ind w:left="120"/>
              <w:rPr>
                <w:sz w:val="18"/>
              </w:rPr>
            </w:pPr>
            <w:r>
              <w:rPr>
                <w:sz w:val="18"/>
              </w:rPr>
              <w:t>Good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record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→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history_multiplier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=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0.90</w:t>
            </w:r>
          </w:p>
        </w:tc>
      </w:tr>
    </w:tbl>
    <w:p>
      <w:pPr>
        <w:pStyle w:val="BodyText"/>
        <w:spacing w:before="18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896416</wp:posOffset>
                </wp:positionH>
                <wp:positionV relativeFrom="paragraph">
                  <wp:posOffset>172720</wp:posOffset>
                </wp:positionV>
                <wp:extent cx="5981065" cy="388620"/>
                <wp:effectExtent l="0" t="0" r="0" b="0"/>
                <wp:wrapTopAndBottom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5981065" cy="38862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</wps:spPr>
                      <wps:txbx>
                        <w:txbxContent>
                          <w:p>
                            <w:pPr>
                              <w:spacing w:before="0"/>
                              <w:ind w:left="28" w:right="3448" w:firstLine="0"/>
                              <w:jc w:val="left"/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  <w:t>Premium: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  <w:t>₹35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  <w:t>×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  <w:t>1.30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  <w:t>×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  <w:t>1.20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  <w:t>×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  <w:t>0.90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  <w:t>₹49.14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8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  <w:t>→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8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  <w:t>₹49/week Payout (Extreme Heat): ₹750 ÷ 8 × 4 × 0.80 = ₹300</w:t>
                            </w:r>
                          </w:p>
                          <w:p>
                            <w:pPr>
                              <w:spacing w:before="0"/>
                              <w:ind w:left="28" w:right="0" w:firstLine="0"/>
                              <w:jc w:val="left"/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  <w:t>Weekly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  <w:t>earning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  <w:t>(6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  <w:t>days):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  <w:t>₹4,500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47"/>
                                <w:w w:val="15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  <w:t>|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47"/>
                                <w:w w:val="15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  <w:t>Max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  <w:t>coverage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  <w:t>ratio: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  <w:t>₹800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  <w:t>/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  <w:t>₹4,500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  <w:sz w:val="18"/>
                              </w:rPr>
                              <w:t>17.8%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84pt;margin-top:13.6pt;width:470.95pt;height:30.6pt;mso-position-horizontal-relative:page;mso-position-vertical-relative:paragraph;z-index:-15726592;mso-wrap-distance-left:0;mso-wrap-distance-right:0" type="#_x0000_t202" id="docshape6" filled="true" fillcolor="#f4f4f4" stroked="false">
                <v:textbox inset="0,0,0,0">
                  <w:txbxContent>
                    <w:p>
                      <w:pPr>
                        <w:spacing w:before="0"/>
                        <w:ind w:left="28" w:right="3448" w:firstLine="0"/>
                        <w:jc w:val="left"/>
                        <w:rPr>
                          <w:rFonts w:ascii="Courier New" w:hAns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z w:val="18"/>
                        </w:rPr>
                        <w:t>Premium:</w:t>
                      </w:r>
                      <w:r>
                        <w:rPr>
                          <w:rFonts w:ascii="Courier New" w:hAnsi="Courier New"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18"/>
                        </w:rPr>
                        <w:t>₹35</w:t>
                      </w:r>
                      <w:r>
                        <w:rPr>
                          <w:rFonts w:ascii="Courier New" w:hAnsi="Courier New"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18"/>
                        </w:rPr>
                        <w:t>×</w:t>
                      </w:r>
                      <w:r>
                        <w:rPr>
                          <w:rFonts w:ascii="Courier New" w:hAnsi="Courier New"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18"/>
                        </w:rPr>
                        <w:t>1.30</w:t>
                      </w:r>
                      <w:r>
                        <w:rPr>
                          <w:rFonts w:ascii="Courier New" w:hAnsi="Courier New"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18"/>
                        </w:rPr>
                        <w:t>×</w:t>
                      </w:r>
                      <w:r>
                        <w:rPr>
                          <w:rFonts w:ascii="Courier New" w:hAnsi="Courier New"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18"/>
                        </w:rPr>
                        <w:t>1.20</w:t>
                      </w:r>
                      <w:r>
                        <w:rPr>
                          <w:rFonts w:ascii="Courier New" w:hAnsi="Courier New"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18"/>
                        </w:rPr>
                        <w:t>×</w:t>
                      </w:r>
                      <w:r>
                        <w:rPr>
                          <w:rFonts w:ascii="Courier New" w:hAnsi="Courier New"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18"/>
                        </w:rPr>
                        <w:t>0.90</w:t>
                      </w:r>
                      <w:r>
                        <w:rPr>
                          <w:rFonts w:ascii="Courier New" w:hAnsi="Courier New"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urier New" w:hAnsi="Courier New"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18"/>
                        </w:rPr>
                        <w:t>₹49.14</w:t>
                      </w:r>
                      <w:r>
                        <w:rPr>
                          <w:rFonts w:ascii="Courier New" w:hAnsi="Courier New"/>
                          <w:color w:val="000000"/>
                          <w:spacing w:val="80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18"/>
                        </w:rPr>
                        <w:t>→</w:t>
                      </w:r>
                      <w:r>
                        <w:rPr>
                          <w:rFonts w:ascii="Courier New" w:hAnsi="Courier New"/>
                          <w:color w:val="000000"/>
                          <w:spacing w:val="80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18"/>
                        </w:rPr>
                        <w:t>₹49/week Payout (Extreme Heat): ₹750 ÷ 8 × 4 × 0.80 = ₹300</w:t>
                      </w:r>
                    </w:p>
                    <w:p>
                      <w:pPr>
                        <w:spacing w:before="0"/>
                        <w:ind w:left="28" w:right="0" w:firstLine="0"/>
                        <w:jc w:val="left"/>
                        <w:rPr>
                          <w:rFonts w:ascii="Courier New" w:hAns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z w:val="18"/>
                        </w:rPr>
                        <w:t>Weekly</w:t>
                      </w:r>
                      <w:r>
                        <w:rPr>
                          <w:rFonts w:ascii="Courier New" w:hAnsi="Courier New"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18"/>
                        </w:rPr>
                        <w:t>earning</w:t>
                      </w:r>
                      <w:r>
                        <w:rPr>
                          <w:rFonts w:ascii="Courier New" w:hAnsi="Courier New"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18"/>
                        </w:rPr>
                        <w:t>(6</w:t>
                      </w:r>
                      <w:r>
                        <w:rPr>
                          <w:rFonts w:ascii="Courier New" w:hAnsi="Courier New"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18"/>
                        </w:rPr>
                        <w:t>days):</w:t>
                      </w:r>
                      <w:r>
                        <w:rPr>
                          <w:rFonts w:ascii="Courier New" w:hAnsi="Courier New"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18"/>
                        </w:rPr>
                        <w:t>₹4,500</w:t>
                      </w:r>
                      <w:r>
                        <w:rPr>
                          <w:rFonts w:ascii="Courier New" w:hAnsi="Courier New"/>
                          <w:color w:val="000000"/>
                          <w:spacing w:val="47"/>
                          <w:w w:val="150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18"/>
                        </w:rPr>
                        <w:t>|</w:t>
                      </w:r>
                      <w:r>
                        <w:rPr>
                          <w:rFonts w:ascii="Courier New" w:hAnsi="Courier New"/>
                          <w:color w:val="000000"/>
                          <w:spacing w:val="47"/>
                          <w:w w:val="150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18"/>
                        </w:rPr>
                        <w:t>Max</w:t>
                      </w:r>
                      <w:r>
                        <w:rPr>
                          <w:rFonts w:ascii="Courier New" w:hAnsi="Courier New"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18"/>
                        </w:rPr>
                        <w:t>coverage</w:t>
                      </w:r>
                      <w:r>
                        <w:rPr>
                          <w:rFonts w:ascii="Courier New" w:hAnsi="Courier New"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18"/>
                        </w:rPr>
                        <w:t>ratio:</w:t>
                      </w:r>
                      <w:r>
                        <w:rPr>
                          <w:rFonts w:ascii="Courier New" w:hAnsi="Courier New"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18"/>
                        </w:rPr>
                        <w:t>₹800</w:t>
                      </w:r>
                      <w:r>
                        <w:rPr>
                          <w:rFonts w:ascii="Courier New" w:hAnsi="Courier New"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18"/>
                        </w:rPr>
                        <w:t>/</w:t>
                      </w:r>
                      <w:r>
                        <w:rPr>
                          <w:rFonts w:ascii="Courier New" w:hAnsi="Courier New"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18"/>
                        </w:rPr>
                        <w:t>₹4,500</w:t>
                      </w:r>
                      <w:r>
                        <w:rPr>
                          <w:rFonts w:ascii="Courier New" w:hAnsi="Courier New"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urier New" w:hAnsi="Courier New"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pacing w:val="-2"/>
                          <w:sz w:val="18"/>
                        </w:rPr>
                        <w:t>17.8%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248"/>
        <w:rPr>
          <w:rFonts w:ascii="Arial"/>
          <w:b/>
          <w:sz w:val="28"/>
        </w:rPr>
      </w:pPr>
    </w:p>
    <w:p>
      <w:pPr>
        <w:spacing w:before="0"/>
        <w:ind w:left="360" w:right="0" w:firstLine="0"/>
        <w:jc w:val="left"/>
        <w:rPr>
          <w:rFonts w:ascii="Arial"/>
          <w:b/>
          <w:sz w:val="28"/>
        </w:rPr>
      </w:pPr>
      <w:r>
        <w:rPr>
          <w:rFonts w:ascii="Arial"/>
          <w:b/>
          <w:color w:val="2D75B6"/>
          <w:sz w:val="28"/>
        </w:rPr>
        <w:t>Persona</w:t>
      </w:r>
      <w:r>
        <w:rPr>
          <w:rFonts w:ascii="Arial"/>
          <w:b/>
          <w:color w:val="2D75B6"/>
          <w:spacing w:val="-6"/>
          <w:sz w:val="28"/>
        </w:rPr>
        <w:t> </w:t>
      </w:r>
      <w:r>
        <w:rPr>
          <w:rFonts w:ascii="Arial"/>
          <w:b/>
          <w:color w:val="2D75B6"/>
          <w:sz w:val="28"/>
        </w:rPr>
        <w:t>2:</w:t>
      </w:r>
      <w:r>
        <w:rPr>
          <w:rFonts w:ascii="Arial"/>
          <w:b/>
          <w:color w:val="2D75B6"/>
          <w:spacing w:val="-8"/>
          <w:sz w:val="28"/>
        </w:rPr>
        <w:t> </w:t>
      </w:r>
      <w:r>
        <w:rPr>
          <w:rFonts w:ascii="Arial"/>
          <w:b/>
          <w:color w:val="2D75B6"/>
          <w:sz w:val="28"/>
        </w:rPr>
        <w:t>Sameer</w:t>
      </w:r>
      <w:r>
        <w:rPr>
          <w:rFonts w:ascii="Arial"/>
          <w:b/>
          <w:color w:val="2D75B6"/>
          <w:spacing w:val="-5"/>
          <w:sz w:val="28"/>
        </w:rPr>
        <w:t> </w:t>
      </w:r>
      <w:r>
        <w:rPr>
          <w:rFonts w:ascii="Arial"/>
          <w:b/>
          <w:color w:val="2D75B6"/>
          <w:sz w:val="28"/>
        </w:rPr>
        <w:t>Shaikh</w:t>
      </w:r>
      <w:r>
        <w:rPr>
          <w:rFonts w:ascii="Arial"/>
          <w:b/>
          <w:color w:val="2D75B6"/>
          <w:spacing w:val="-4"/>
          <w:sz w:val="28"/>
        </w:rPr>
        <w:t> </w:t>
      </w:r>
      <w:r>
        <w:rPr>
          <w:rFonts w:ascii="Arial"/>
          <w:b/>
          <w:color w:val="2D75B6"/>
          <w:spacing w:val="-2"/>
          <w:sz w:val="28"/>
        </w:rPr>
        <w:t>(Mumbai)</w:t>
      </w:r>
    </w:p>
    <w:p>
      <w:pPr>
        <w:pStyle w:val="BodyText"/>
        <w:spacing w:before="8"/>
        <w:rPr>
          <w:rFonts w:ascii="Arial"/>
          <w:b/>
          <w:sz w:val="10"/>
        </w:rPr>
      </w:pPr>
    </w:p>
    <w:tbl>
      <w:tblPr>
        <w:tblW w:w="0" w:type="auto"/>
        <w:jc w:val="left"/>
        <w:tblInd w:w="363" w:type="dxa"/>
        <w:tblBorders>
          <w:top w:val="single" w:sz="2" w:space="0" w:color="878787"/>
          <w:left w:val="single" w:sz="2" w:space="0" w:color="878787"/>
          <w:bottom w:val="single" w:sz="2" w:space="0" w:color="878787"/>
          <w:right w:val="single" w:sz="2" w:space="0" w:color="878787"/>
          <w:insideH w:val="single" w:sz="2" w:space="0" w:color="878787"/>
          <w:insideV w:val="single" w:sz="2" w:space="0" w:color="87878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02"/>
        <w:gridCol w:w="5859"/>
      </w:tblGrid>
      <w:tr>
        <w:trPr>
          <w:trHeight w:val="362" w:hRule="atLeast"/>
        </w:trPr>
        <w:tc>
          <w:tcPr>
            <w:tcW w:w="3502" w:type="dxa"/>
            <w:shd w:val="clear" w:color="auto" w:fill="1F487C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Input</w:t>
            </w:r>
          </w:p>
        </w:tc>
        <w:tc>
          <w:tcPr>
            <w:tcW w:w="5859" w:type="dxa"/>
            <w:shd w:val="clear" w:color="auto" w:fill="1F487C"/>
          </w:tcPr>
          <w:p>
            <w:pPr>
              <w:pStyle w:val="TableParagraph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Value</w:t>
            </w:r>
          </w:p>
        </w:tc>
      </w:tr>
      <w:tr>
        <w:trPr>
          <w:trHeight w:val="364" w:hRule="atLeast"/>
        </w:trPr>
        <w:tc>
          <w:tcPr>
            <w:tcW w:w="3502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Average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daily</w:t>
            </w:r>
            <w:r>
              <w:rPr>
                <w:spacing w:val="-2"/>
                <w:sz w:val="18"/>
              </w:rPr>
              <w:t> earning</w:t>
            </w:r>
          </w:p>
        </w:tc>
        <w:tc>
          <w:tcPr>
            <w:tcW w:w="5859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A"/>
          </w:tcPr>
          <w:p>
            <w:pPr>
              <w:pStyle w:val="TableParagraph"/>
              <w:ind w:left="120"/>
              <w:rPr>
                <w:sz w:val="18"/>
              </w:rPr>
            </w:pPr>
            <w:r>
              <w:rPr>
                <w:spacing w:val="-4"/>
                <w:sz w:val="18"/>
              </w:rPr>
              <w:t>₹600</w:t>
            </w:r>
          </w:p>
        </w:tc>
      </w:tr>
      <w:tr>
        <w:trPr>
          <w:trHeight w:val="365" w:hRule="atLeast"/>
        </w:trPr>
        <w:tc>
          <w:tcPr>
            <w:tcW w:w="35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Zone</w:t>
            </w:r>
          </w:p>
        </w:tc>
        <w:tc>
          <w:tcPr>
            <w:tcW w:w="5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TableParagraph"/>
              <w:ind w:left="120"/>
              <w:rPr>
                <w:sz w:val="18"/>
              </w:rPr>
            </w:pPr>
            <w:r>
              <w:rPr>
                <w:sz w:val="18"/>
              </w:rPr>
              <w:t>Andheri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→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zone_multiplier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=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1.40</w:t>
            </w:r>
          </w:p>
        </w:tc>
      </w:tr>
      <w:tr>
        <w:trPr>
          <w:trHeight w:val="362" w:hRule="atLeast"/>
        </w:trPr>
        <w:tc>
          <w:tcPr>
            <w:tcW w:w="35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Forecast</w:t>
            </w:r>
          </w:p>
        </w:tc>
        <w:tc>
          <w:tcPr>
            <w:tcW w:w="5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A"/>
          </w:tcPr>
          <w:p>
            <w:pPr>
              <w:pStyle w:val="TableParagraph"/>
              <w:ind w:left="120"/>
              <w:rPr>
                <w:sz w:val="18"/>
              </w:rPr>
            </w:pPr>
            <w:r>
              <w:rPr>
                <w:sz w:val="18"/>
              </w:rPr>
              <w:t>Active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monsoon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week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→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weather_multiplier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=</w:t>
            </w:r>
            <w:r>
              <w:rPr>
                <w:spacing w:val="-4"/>
                <w:sz w:val="18"/>
              </w:rPr>
              <w:t> 1.30</w:t>
            </w:r>
          </w:p>
        </w:tc>
      </w:tr>
      <w:tr>
        <w:trPr>
          <w:trHeight w:val="364" w:hRule="atLeast"/>
        </w:trPr>
        <w:tc>
          <w:tcPr>
            <w:tcW w:w="35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TableParagraph"/>
              <w:spacing w:before="79"/>
              <w:rPr>
                <w:sz w:val="18"/>
              </w:rPr>
            </w:pPr>
            <w:r>
              <w:rPr>
                <w:spacing w:val="-2"/>
                <w:sz w:val="18"/>
              </w:rPr>
              <w:t>History</w:t>
            </w:r>
          </w:p>
        </w:tc>
        <w:tc>
          <w:tcPr>
            <w:tcW w:w="5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TableParagraph"/>
              <w:spacing w:before="79"/>
              <w:ind w:left="120"/>
              <w:rPr>
                <w:sz w:val="18"/>
              </w:rPr>
            </w:pPr>
            <w:r>
              <w:rPr>
                <w:sz w:val="18"/>
              </w:rPr>
              <w:t>New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worker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→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history_multiplier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=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1.00</w:t>
            </w:r>
          </w:p>
        </w:tc>
      </w:tr>
    </w:tbl>
    <w:p>
      <w:pPr>
        <w:pStyle w:val="BodyText"/>
        <w:spacing w:before="21"/>
        <w:rPr>
          <w:rFonts w:ascii="Arial"/>
          <w:b/>
          <w:sz w:val="20"/>
        </w:rPr>
      </w:pPr>
    </w:p>
    <w:tbl>
      <w:tblPr>
        <w:tblW w:w="0" w:type="auto"/>
        <w:jc w:val="left"/>
        <w:tblInd w:w="3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23"/>
        <w:gridCol w:w="540"/>
        <w:gridCol w:w="216"/>
        <w:gridCol w:w="756"/>
        <w:gridCol w:w="216"/>
        <w:gridCol w:w="1668"/>
      </w:tblGrid>
      <w:tr>
        <w:trPr>
          <w:trHeight w:val="612" w:hRule="atLeast"/>
        </w:trPr>
        <w:tc>
          <w:tcPr>
            <w:tcW w:w="6023" w:type="dxa"/>
            <w:shd w:val="clear" w:color="auto" w:fill="F4F4F4"/>
          </w:tcPr>
          <w:p>
            <w:pPr>
              <w:pStyle w:val="TableParagraph"/>
              <w:spacing w:before="0"/>
              <w:ind w:left="28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sz w:val="18"/>
              </w:rPr>
              <w:t>Premium:</w:t>
            </w:r>
            <w:r>
              <w:rPr>
                <w:rFonts w:ascii="Courier New" w:hAnsi="Courier New"/>
                <w:spacing w:val="-4"/>
                <w:sz w:val="18"/>
              </w:rPr>
              <w:t> </w:t>
            </w:r>
            <w:r>
              <w:rPr>
                <w:rFonts w:ascii="Courier New" w:hAnsi="Courier New"/>
                <w:sz w:val="18"/>
              </w:rPr>
              <w:t>₹35</w:t>
            </w:r>
            <w:r>
              <w:rPr>
                <w:rFonts w:ascii="Courier New" w:hAnsi="Courier New"/>
                <w:spacing w:val="-4"/>
                <w:sz w:val="18"/>
              </w:rPr>
              <w:t> </w:t>
            </w:r>
            <w:r>
              <w:rPr>
                <w:rFonts w:ascii="Courier New" w:hAnsi="Courier New"/>
                <w:sz w:val="18"/>
              </w:rPr>
              <w:t>×</w:t>
            </w:r>
            <w:r>
              <w:rPr>
                <w:rFonts w:ascii="Courier New" w:hAnsi="Courier New"/>
                <w:spacing w:val="-4"/>
                <w:sz w:val="18"/>
              </w:rPr>
              <w:t> </w:t>
            </w:r>
            <w:r>
              <w:rPr>
                <w:rFonts w:ascii="Courier New" w:hAnsi="Courier New"/>
                <w:sz w:val="18"/>
              </w:rPr>
              <w:t>1.40</w:t>
            </w:r>
            <w:r>
              <w:rPr>
                <w:rFonts w:ascii="Courier New" w:hAnsi="Courier New"/>
                <w:spacing w:val="-4"/>
                <w:sz w:val="18"/>
              </w:rPr>
              <w:t> </w:t>
            </w:r>
            <w:r>
              <w:rPr>
                <w:rFonts w:ascii="Courier New" w:hAnsi="Courier New"/>
                <w:sz w:val="18"/>
              </w:rPr>
              <w:t>×</w:t>
            </w:r>
            <w:r>
              <w:rPr>
                <w:rFonts w:ascii="Courier New" w:hAnsi="Courier New"/>
                <w:spacing w:val="-4"/>
                <w:sz w:val="18"/>
              </w:rPr>
              <w:t> </w:t>
            </w:r>
            <w:r>
              <w:rPr>
                <w:rFonts w:ascii="Courier New" w:hAnsi="Courier New"/>
                <w:sz w:val="18"/>
              </w:rPr>
              <w:t>1.30</w:t>
            </w:r>
            <w:r>
              <w:rPr>
                <w:rFonts w:ascii="Courier New" w:hAnsi="Courier New"/>
                <w:spacing w:val="-4"/>
                <w:sz w:val="18"/>
              </w:rPr>
              <w:t> </w:t>
            </w:r>
            <w:r>
              <w:rPr>
                <w:rFonts w:ascii="Courier New" w:hAnsi="Courier New"/>
                <w:sz w:val="18"/>
              </w:rPr>
              <w:t>×</w:t>
            </w:r>
            <w:r>
              <w:rPr>
                <w:rFonts w:ascii="Courier New" w:hAnsi="Courier New"/>
                <w:spacing w:val="-4"/>
                <w:sz w:val="18"/>
              </w:rPr>
              <w:t> </w:t>
            </w:r>
            <w:r>
              <w:rPr>
                <w:rFonts w:ascii="Courier New" w:hAnsi="Courier New"/>
                <w:sz w:val="18"/>
              </w:rPr>
              <w:t>1.00</w:t>
            </w:r>
            <w:r>
              <w:rPr>
                <w:rFonts w:ascii="Courier New" w:hAnsi="Courier New"/>
                <w:spacing w:val="-4"/>
                <w:sz w:val="18"/>
              </w:rPr>
              <w:t> </w:t>
            </w:r>
            <w:r>
              <w:rPr>
                <w:rFonts w:ascii="Courier New" w:hAnsi="Courier New"/>
                <w:sz w:val="18"/>
              </w:rPr>
              <w:t>=</w:t>
            </w:r>
            <w:r>
              <w:rPr>
                <w:rFonts w:ascii="Courier New" w:hAnsi="Courier New"/>
                <w:spacing w:val="-4"/>
                <w:sz w:val="18"/>
              </w:rPr>
              <w:t> </w:t>
            </w:r>
            <w:r>
              <w:rPr>
                <w:rFonts w:ascii="Courier New" w:hAnsi="Courier New"/>
                <w:sz w:val="18"/>
              </w:rPr>
              <w:t>₹63.70</w:t>
            </w:r>
            <w:r>
              <w:rPr>
                <w:rFonts w:ascii="Courier New" w:hAnsi="Courier New"/>
                <w:spacing w:val="80"/>
                <w:sz w:val="18"/>
              </w:rPr>
              <w:t> </w:t>
            </w:r>
            <w:r>
              <w:rPr>
                <w:rFonts w:ascii="Courier New" w:hAnsi="Courier New"/>
                <w:sz w:val="18"/>
              </w:rPr>
              <w:t>→</w:t>
            </w:r>
            <w:r>
              <w:rPr>
                <w:rFonts w:ascii="Courier New" w:hAnsi="Courier New"/>
                <w:spacing w:val="80"/>
                <w:sz w:val="18"/>
              </w:rPr>
              <w:t> </w:t>
            </w:r>
            <w:r>
              <w:rPr>
                <w:rFonts w:ascii="Courier New" w:hAnsi="Courier New"/>
                <w:sz w:val="18"/>
              </w:rPr>
              <w:t>₹64/week Payout (Heavy Rainfall): ₹600 ÷ 8 × 4 × 0.80 = ₹240</w:t>
            </w:r>
          </w:p>
          <w:p>
            <w:pPr>
              <w:pStyle w:val="TableParagraph"/>
              <w:spacing w:line="185" w:lineRule="exact" w:before="0"/>
              <w:ind w:left="28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sz w:val="18"/>
              </w:rPr>
              <w:t>Weekly</w:t>
            </w:r>
            <w:r>
              <w:rPr>
                <w:rFonts w:ascii="Courier New" w:hAnsi="Courier New"/>
                <w:spacing w:val="-5"/>
                <w:sz w:val="18"/>
              </w:rPr>
              <w:t> </w:t>
            </w:r>
            <w:r>
              <w:rPr>
                <w:rFonts w:ascii="Courier New" w:hAnsi="Courier New"/>
                <w:sz w:val="18"/>
              </w:rPr>
              <w:t>earning</w:t>
            </w:r>
            <w:r>
              <w:rPr>
                <w:rFonts w:ascii="Courier New" w:hAnsi="Courier New"/>
                <w:spacing w:val="-4"/>
                <w:sz w:val="18"/>
              </w:rPr>
              <w:t> </w:t>
            </w:r>
            <w:r>
              <w:rPr>
                <w:rFonts w:ascii="Courier New" w:hAnsi="Courier New"/>
                <w:sz w:val="18"/>
              </w:rPr>
              <w:t>(6</w:t>
            </w:r>
            <w:r>
              <w:rPr>
                <w:rFonts w:ascii="Courier New" w:hAnsi="Courier New"/>
                <w:spacing w:val="-4"/>
                <w:sz w:val="18"/>
              </w:rPr>
              <w:t> </w:t>
            </w:r>
            <w:r>
              <w:rPr>
                <w:rFonts w:ascii="Courier New" w:hAnsi="Courier New"/>
                <w:sz w:val="18"/>
              </w:rPr>
              <w:t>days):</w:t>
            </w:r>
            <w:r>
              <w:rPr>
                <w:rFonts w:ascii="Courier New" w:hAnsi="Courier New"/>
                <w:spacing w:val="-4"/>
                <w:sz w:val="18"/>
              </w:rPr>
              <w:t> </w:t>
            </w:r>
            <w:r>
              <w:rPr>
                <w:rFonts w:ascii="Courier New" w:hAnsi="Courier New"/>
                <w:sz w:val="18"/>
              </w:rPr>
              <w:t>₹3,600</w:t>
            </w:r>
            <w:r>
              <w:rPr>
                <w:rFonts w:ascii="Courier New" w:hAnsi="Courier New"/>
                <w:spacing w:val="47"/>
                <w:w w:val="150"/>
                <w:sz w:val="18"/>
              </w:rPr>
              <w:t> </w:t>
            </w:r>
            <w:r>
              <w:rPr>
                <w:rFonts w:ascii="Courier New" w:hAnsi="Courier New"/>
                <w:sz w:val="18"/>
              </w:rPr>
              <w:t>|</w:t>
            </w:r>
            <w:r>
              <w:rPr>
                <w:rFonts w:ascii="Courier New" w:hAnsi="Courier New"/>
                <w:spacing w:val="47"/>
                <w:w w:val="150"/>
                <w:sz w:val="18"/>
              </w:rPr>
              <w:t> </w:t>
            </w:r>
            <w:r>
              <w:rPr>
                <w:rFonts w:ascii="Courier New" w:hAnsi="Courier New"/>
                <w:sz w:val="18"/>
              </w:rPr>
              <w:t>Max</w:t>
            </w:r>
            <w:r>
              <w:rPr>
                <w:rFonts w:ascii="Courier New" w:hAnsi="Courier New"/>
                <w:spacing w:val="-4"/>
                <w:sz w:val="18"/>
              </w:rPr>
              <w:t> </w:t>
            </w:r>
            <w:r>
              <w:rPr>
                <w:rFonts w:ascii="Courier New" w:hAnsi="Courier New"/>
                <w:sz w:val="18"/>
              </w:rPr>
              <w:t>coverage</w:t>
            </w:r>
            <w:r>
              <w:rPr>
                <w:rFonts w:ascii="Courier New" w:hAnsi="Courier New"/>
                <w:spacing w:val="-5"/>
                <w:sz w:val="18"/>
              </w:rPr>
              <w:t> </w:t>
            </w:r>
            <w:r>
              <w:rPr>
                <w:rFonts w:ascii="Courier New" w:hAnsi="Courier New"/>
                <w:spacing w:val="-2"/>
                <w:sz w:val="18"/>
              </w:rPr>
              <w:t>ratio:</w:t>
            </w:r>
          </w:p>
        </w:tc>
        <w:tc>
          <w:tcPr>
            <w:tcW w:w="540" w:type="dxa"/>
            <w:shd w:val="clear" w:color="auto" w:fill="F4F4F4"/>
          </w:tcPr>
          <w:p>
            <w:pPr>
              <w:pStyle w:val="TableParagraph"/>
              <w:spacing w:before="199"/>
              <w:ind w:left="0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line="185" w:lineRule="exact" w:before="1"/>
              <w:ind w:left="53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spacing w:val="-4"/>
                <w:sz w:val="18"/>
              </w:rPr>
              <w:t>₹800</w:t>
            </w:r>
          </w:p>
        </w:tc>
        <w:tc>
          <w:tcPr>
            <w:tcW w:w="216" w:type="dxa"/>
            <w:shd w:val="clear" w:color="auto" w:fill="F4F4F4"/>
          </w:tcPr>
          <w:p>
            <w:pPr>
              <w:pStyle w:val="TableParagraph"/>
              <w:spacing w:before="199"/>
              <w:ind w:left="0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line="185" w:lineRule="exact" w:before="1"/>
              <w:ind w:left="53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10"/>
                <w:sz w:val="18"/>
              </w:rPr>
              <w:t>/</w:t>
            </w:r>
          </w:p>
        </w:tc>
        <w:tc>
          <w:tcPr>
            <w:tcW w:w="756" w:type="dxa"/>
            <w:shd w:val="clear" w:color="auto" w:fill="F4F4F4"/>
          </w:tcPr>
          <w:p>
            <w:pPr>
              <w:pStyle w:val="TableParagraph"/>
              <w:spacing w:before="199"/>
              <w:ind w:left="0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line="185" w:lineRule="exact" w:before="1"/>
              <w:ind w:left="53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spacing w:val="-2"/>
                <w:sz w:val="18"/>
              </w:rPr>
              <w:t>₹3,600</w:t>
            </w:r>
          </w:p>
        </w:tc>
        <w:tc>
          <w:tcPr>
            <w:tcW w:w="216" w:type="dxa"/>
            <w:shd w:val="clear" w:color="auto" w:fill="F4F4F4"/>
          </w:tcPr>
          <w:p>
            <w:pPr>
              <w:pStyle w:val="TableParagraph"/>
              <w:spacing w:before="199"/>
              <w:ind w:left="0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line="185" w:lineRule="exact" w:before="1"/>
              <w:ind w:left="53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10"/>
                <w:sz w:val="18"/>
              </w:rPr>
              <w:t>=</w:t>
            </w:r>
          </w:p>
        </w:tc>
        <w:tc>
          <w:tcPr>
            <w:tcW w:w="1668" w:type="dxa"/>
            <w:shd w:val="clear" w:color="auto" w:fill="F4F4F4"/>
          </w:tcPr>
          <w:p>
            <w:pPr>
              <w:pStyle w:val="TableParagraph"/>
              <w:spacing w:before="199"/>
              <w:ind w:left="0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line="185" w:lineRule="exact" w:before="1"/>
              <w:ind w:left="53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22.2%</w:t>
            </w:r>
          </w:p>
        </w:tc>
      </w:tr>
      <w:tr>
        <w:trPr>
          <w:trHeight w:val="894" w:hRule="atLeast"/>
        </w:trPr>
        <w:tc>
          <w:tcPr>
            <w:tcW w:w="6023" w:type="dxa"/>
          </w:tcPr>
          <w:p>
            <w:pPr>
              <w:pStyle w:val="TableParagraph"/>
              <w:spacing w:before="250"/>
              <w:ind w:left="0"/>
              <w:rPr>
                <w:rFonts w:ascii="Arial"/>
                <w:b/>
                <w:sz w:val="28"/>
              </w:rPr>
            </w:pPr>
          </w:p>
          <w:p>
            <w:pPr>
              <w:pStyle w:val="TableParagraph"/>
              <w:spacing w:line="302" w:lineRule="exact" w:before="0"/>
              <w:ind w:left="28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2D75B6"/>
                <w:sz w:val="28"/>
              </w:rPr>
              <w:t>Persona</w:t>
            </w:r>
            <w:r>
              <w:rPr>
                <w:rFonts w:ascii="Arial"/>
                <w:b/>
                <w:color w:val="2D75B6"/>
                <w:spacing w:val="-4"/>
                <w:sz w:val="28"/>
              </w:rPr>
              <w:t> </w:t>
            </w:r>
            <w:r>
              <w:rPr>
                <w:rFonts w:ascii="Arial"/>
                <w:b/>
                <w:color w:val="2D75B6"/>
                <w:sz w:val="28"/>
              </w:rPr>
              <w:t>3:</w:t>
            </w:r>
            <w:r>
              <w:rPr>
                <w:rFonts w:ascii="Arial"/>
                <w:b/>
                <w:color w:val="2D75B6"/>
                <w:spacing w:val="-7"/>
                <w:sz w:val="28"/>
              </w:rPr>
              <w:t> </w:t>
            </w:r>
            <w:r>
              <w:rPr>
                <w:rFonts w:ascii="Arial"/>
                <w:b/>
                <w:color w:val="2D75B6"/>
                <w:sz w:val="28"/>
              </w:rPr>
              <w:t>Priya</w:t>
            </w:r>
            <w:r>
              <w:rPr>
                <w:rFonts w:ascii="Arial"/>
                <w:b/>
                <w:color w:val="2D75B6"/>
                <w:spacing w:val="-6"/>
                <w:sz w:val="28"/>
              </w:rPr>
              <w:t> </w:t>
            </w:r>
            <w:r>
              <w:rPr>
                <w:rFonts w:ascii="Arial"/>
                <w:b/>
                <w:color w:val="2D75B6"/>
                <w:sz w:val="28"/>
              </w:rPr>
              <w:t>Murthy</w:t>
            </w:r>
            <w:r>
              <w:rPr>
                <w:rFonts w:ascii="Arial"/>
                <w:b/>
                <w:color w:val="2D75B6"/>
                <w:spacing w:val="-6"/>
                <w:sz w:val="28"/>
              </w:rPr>
              <w:t> </w:t>
            </w:r>
            <w:r>
              <w:rPr>
                <w:rFonts w:ascii="Arial"/>
                <w:b/>
                <w:color w:val="2D75B6"/>
                <w:spacing w:val="-2"/>
                <w:sz w:val="28"/>
              </w:rPr>
              <w:t>(Chennai)</w:t>
            </w:r>
          </w:p>
        </w:tc>
        <w:tc>
          <w:tcPr>
            <w:tcW w:w="54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1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75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1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66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6"/>
        <w:rPr>
          <w:rFonts w:ascii="Arial"/>
          <w:b/>
          <w:sz w:val="10"/>
        </w:rPr>
      </w:pPr>
    </w:p>
    <w:tbl>
      <w:tblPr>
        <w:tblW w:w="0" w:type="auto"/>
        <w:jc w:val="left"/>
        <w:tblInd w:w="363" w:type="dxa"/>
        <w:tblBorders>
          <w:top w:val="single" w:sz="2" w:space="0" w:color="878787"/>
          <w:left w:val="single" w:sz="2" w:space="0" w:color="878787"/>
          <w:bottom w:val="single" w:sz="2" w:space="0" w:color="878787"/>
          <w:right w:val="single" w:sz="2" w:space="0" w:color="878787"/>
          <w:insideH w:val="single" w:sz="2" w:space="0" w:color="878787"/>
          <w:insideV w:val="single" w:sz="2" w:space="0" w:color="87878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02"/>
        <w:gridCol w:w="5859"/>
      </w:tblGrid>
      <w:tr>
        <w:trPr>
          <w:trHeight w:val="364" w:hRule="atLeast"/>
        </w:trPr>
        <w:tc>
          <w:tcPr>
            <w:tcW w:w="3502" w:type="dxa"/>
            <w:shd w:val="clear" w:color="auto" w:fill="1F487C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Input</w:t>
            </w:r>
          </w:p>
        </w:tc>
        <w:tc>
          <w:tcPr>
            <w:tcW w:w="5859" w:type="dxa"/>
            <w:shd w:val="clear" w:color="auto" w:fill="1F487C"/>
          </w:tcPr>
          <w:p>
            <w:pPr>
              <w:pStyle w:val="TableParagraph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Value</w:t>
            </w:r>
          </w:p>
        </w:tc>
      </w:tr>
      <w:tr>
        <w:trPr>
          <w:trHeight w:val="365" w:hRule="atLeast"/>
        </w:trPr>
        <w:tc>
          <w:tcPr>
            <w:tcW w:w="3502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Average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daily</w:t>
            </w:r>
            <w:r>
              <w:rPr>
                <w:spacing w:val="-2"/>
                <w:sz w:val="18"/>
              </w:rPr>
              <w:t> earning</w:t>
            </w:r>
          </w:p>
        </w:tc>
        <w:tc>
          <w:tcPr>
            <w:tcW w:w="5859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A"/>
          </w:tcPr>
          <w:p>
            <w:pPr>
              <w:pStyle w:val="TableParagraph"/>
              <w:ind w:left="120"/>
              <w:rPr>
                <w:sz w:val="18"/>
              </w:rPr>
            </w:pPr>
            <w:r>
              <w:rPr>
                <w:spacing w:val="-4"/>
                <w:sz w:val="18"/>
              </w:rPr>
              <w:t>₹900</w:t>
            </w:r>
          </w:p>
        </w:tc>
      </w:tr>
      <w:tr>
        <w:trPr>
          <w:trHeight w:val="362" w:hRule="atLeast"/>
        </w:trPr>
        <w:tc>
          <w:tcPr>
            <w:tcW w:w="35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Zone</w:t>
            </w:r>
          </w:p>
        </w:tc>
        <w:tc>
          <w:tcPr>
            <w:tcW w:w="5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TableParagraph"/>
              <w:ind w:left="120"/>
              <w:rPr>
                <w:sz w:val="18"/>
              </w:rPr>
            </w:pPr>
            <w:r>
              <w:rPr>
                <w:sz w:val="18"/>
              </w:rPr>
              <w:t>T.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Nagar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→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zone_multiplier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=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1.10</w:t>
            </w:r>
          </w:p>
        </w:tc>
      </w:tr>
      <w:tr>
        <w:trPr>
          <w:trHeight w:val="364" w:hRule="atLeast"/>
        </w:trPr>
        <w:tc>
          <w:tcPr>
            <w:tcW w:w="35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A"/>
          </w:tcPr>
          <w:p>
            <w:pPr>
              <w:pStyle w:val="TableParagraph"/>
              <w:spacing w:before="79"/>
              <w:rPr>
                <w:sz w:val="18"/>
              </w:rPr>
            </w:pPr>
            <w:r>
              <w:rPr>
                <w:spacing w:val="-2"/>
                <w:sz w:val="18"/>
              </w:rPr>
              <w:t>Forecast</w:t>
            </w:r>
          </w:p>
        </w:tc>
        <w:tc>
          <w:tcPr>
            <w:tcW w:w="5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A"/>
          </w:tcPr>
          <w:p>
            <w:pPr>
              <w:pStyle w:val="TableParagraph"/>
              <w:spacing w:before="79"/>
              <w:ind w:left="120"/>
              <w:rPr>
                <w:sz w:val="18"/>
              </w:rPr>
            </w:pPr>
            <w:r>
              <w:rPr>
                <w:sz w:val="18"/>
              </w:rPr>
              <w:t>Clear,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calm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week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→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weather_multiplier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=</w:t>
            </w:r>
            <w:r>
              <w:rPr>
                <w:spacing w:val="-4"/>
                <w:sz w:val="18"/>
              </w:rPr>
              <w:t> 1.00</w:t>
            </w:r>
          </w:p>
        </w:tc>
      </w:tr>
      <w:tr>
        <w:trPr>
          <w:trHeight w:val="364" w:hRule="atLeast"/>
        </w:trPr>
        <w:tc>
          <w:tcPr>
            <w:tcW w:w="35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History</w:t>
            </w:r>
          </w:p>
        </w:tc>
        <w:tc>
          <w:tcPr>
            <w:tcW w:w="5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TableParagraph"/>
              <w:ind w:left="120"/>
              <w:rPr>
                <w:sz w:val="18"/>
              </w:rPr>
            </w:pPr>
            <w:r>
              <w:rPr>
                <w:sz w:val="18"/>
              </w:rPr>
              <w:t>Excellent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record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→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history_multiplier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=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0.85</w:t>
            </w:r>
          </w:p>
        </w:tc>
      </w:tr>
    </w:tbl>
    <w:p>
      <w:pPr>
        <w:pStyle w:val="BodyText"/>
        <w:spacing w:before="21"/>
        <w:rPr>
          <w:rFonts w:ascii="Arial"/>
          <w:b/>
          <w:sz w:val="20"/>
        </w:rPr>
      </w:pPr>
    </w:p>
    <w:tbl>
      <w:tblPr>
        <w:tblW w:w="0" w:type="auto"/>
        <w:jc w:val="left"/>
        <w:tblInd w:w="3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23"/>
        <w:gridCol w:w="540"/>
        <w:gridCol w:w="216"/>
        <w:gridCol w:w="756"/>
        <w:gridCol w:w="216"/>
        <w:gridCol w:w="1668"/>
      </w:tblGrid>
      <w:tr>
        <w:trPr>
          <w:trHeight w:val="612" w:hRule="atLeast"/>
        </w:trPr>
        <w:tc>
          <w:tcPr>
            <w:tcW w:w="6023" w:type="dxa"/>
            <w:shd w:val="clear" w:color="auto" w:fill="F4F4F4"/>
          </w:tcPr>
          <w:p>
            <w:pPr>
              <w:pStyle w:val="TableParagraph"/>
              <w:spacing w:before="0"/>
              <w:ind w:left="28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sz w:val="18"/>
              </w:rPr>
              <w:t>Premium:</w:t>
            </w:r>
            <w:r>
              <w:rPr>
                <w:rFonts w:ascii="Courier New" w:hAnsi="Courier New"/>
                <w:spacing w:val="-4"/>
                <w:sz w:val="18"/>
              </w:rPr>
              <w:t> </w:t>
            </w:r>
            <w:r>
              <w:rPr>
                <w:rFonts w:ascii="Courier New" w:hAnsi="Courier New"/>
                <w:sz w:val="18"/>
              </w:rPr>
              <w:t>₹35</w:t>
            </w:r>
            <w:r>
              <w:rPr>
                <w:rFonts w:ascii="Courier New" w:hAnsi="Courier New"/>
                <w:spacing w:val="-4"/>
                <w:sz w:val="18"/>
              </w:rPr>
              <w:t> </w:t>
            </w:r>
            <w:r>
              <w:rPr>
                <w:rFonts w:ascii="Courier New" w:hAnsi="Courier New"/>
                <w:sz w:val="18"/>
              </w:rPr>
              <w:t>×</w:t>
            </w:r>
            <w:r>
              <w:rPr>
                <w:rFonts w:ascii="Courier New" w:hAnsi="Courier New"/>
                <w:spacing w:val="-4"/>
                <w:sz w:val="18"/>
              </w:rPr>
              <w:t> </w:t>
            </w:r>
            <w:r>
              <w:rPr>
                <w:rFonts w:ascii="Courier New" w:hAnsi="Courier New"/>
                <w:sz w:val="18"/>
              </w:rPr>
              <w:t>1.10</w:t>
            </w:r>
            <w:r>
              <w:rPr>
                <w:rFonts w:ascii="Courier New" w:hAnsi="Courier New"/>
                <w:spacing w:val="-4"/>
                <w:sz w:val="18"/>
              </w:rPr>
              <w:t> </w:t>
            </w:r>
            <w:r>
              <w:rPr>
                <w:rFonts w:ascii="Courier New" w:hAnsi="Courier New"/>
                <w:sz w:val="18"/>
              </w:rPr>
              <w:t>×</w:t>
            </w:r>
            <w:r>
              <w:rPr>
                <w:rFonts w:ascii="Courier New" w:hAnsi="Courier New"/>
                <w:spacing w:val="-4"/>
                <w:sz w:val="18"/>
              </w:rPr>
              <w:t> </w:t>
            </w:r>
            <w:r>
              <w:rPr>
                <w:rFonts w:ascii="Courier New" w:hAnsi="Courier New"/>
                <w:sz w:val="18"/>
              </w:rPr>
              <w:t>1.00</w:t>
            </w:r>
            <w:r>
              <w:rPr>
                <w:rFonts w:ascii="Courier New" w:hAnsi="Courier New"/>
                <w:spacing w:val="-4"/>
                <w:sz w:val="18"/>
              </w:rPr>
              <w:t> </w:t>
            </w:r>
            <w:r>
              <w:rPr>
                <w:rFonts w:ascii="Courier New" w:hAnsi="Courier New"/>
                <w:sz w:val="18"/>
              </w:rPr>
              <w:t>×</w:t>
            </w:r>
            <w:r>
              <w:rPr>
                <w:rFonts w:ascii="Courier New" w:hAnsi="Courier New"/>
                <w:spacing w:val="-4"/>
                <w:sz w:val="18"/>
              </w:rPr>
              <w:t> </w:t>
            </w:r>
            <w:r>
              <w:rPr>
                <w:rFonts w:ascii="Courier New" w:hAnsi="Courier New"/>
                <w:sz w:val="18"/>
              </w:rPr>
              <w:t>0.85</w:t>
            </w:r>
            <w:r>
              <w:rPr>
                <w:rFonts w:ascii="Courier New" w:hAnsi="Courier New"/>
                <w:spacing w:val="-4"/>
                <w:sz w:val="18"/>
              </w:rPr>
              <w:t> </w:t>
            </w:r>
            <w:r>
              <w:rPr>
                <w:rFonts w:ascii="Courier New" w:hAnsi="Courier New"/>
                <w:sz w:val="18"/>
              </w:rPr>
              <w:t>=</w:t>
            </w:r>
            <w:r>
              <w:rPr>
                <w:rFonts w:ascii="Courier New" w:hAnsi="Courier New"/>
                <w:spacing w:val="-4"/>
                <w:sz w:val="18"/>
              </w:rPr>
              <w:t> </w:t>
            </w:r>
            <w:r>
              <w:rPr>
                <w:rFonts w:ascii="Courier New" w:hAnsi="Courier New"/>
                <w:sz w:val="18"/>
              </w:rPr>
              <w:t>₹32.72</w:t>
            </w:r>
            <w:r>
              <w:rPr>
                <w:rFonts w:ascii="Courier New" w:hAnsi="Courier New"/>
                <w:spacing w:val="80"/>
                <w:sz w:val="18"/>
              </w:rPr>
              <w:t> </w:t>
            </w:r>
            <w:r>
              <w:rPr>
                <w:rFonts w:ascii="Courier New" w:hAnsi="Courier New"/>
                <w:sz w:val="18"/>
              </w:rPr>
              <w:t>→</w:t>
            </w:r>
            <w:r>
              <w:rPr>
                <w:rFonts w:ascii="Courier New" w:hAnsi="Courier New"/>
                <w:spacing w:val="80"/>
                <w:sz w:val="18"/>
              </w:rPr>
              <w:t> </w:t>
            </w:r>
            <w:r>
              <w:rPr>
                <w:rFonts w:ascii="Courier New" w:hAnsi="Courier New"/>
                <w:sz w:val="18"/>
              </w:rPr>
              <w:t>₹33/week Payout (Extreme Heat): ₹900 ÷ 8 × 4 × 0.80 = ₹360</w:t>
            </w:r>
          </w:p>
          <w:p>
            <w:pPr>
              <w:pStyle w:val="TableParagraph"/>
              <w:spacing w:line="185" w:lineRule="exact" w:before="0"/>
              <w:ind w:left="28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sz w:val="18"/>
              </w:rPr>
              <w:t>Weekly</w:t>
            </w:r>
            <w:r>
              <w:rPr>
                <w:rFonts w:ascii="Courier New" w:hAnsi="Courier New"/>
                <w:spacing w:val="-5"/>
                <w:sz w:val="18"/>
              </w:rPr>
              <w:t> </w:t>
            </w:r>
            <w:r>
              <w:rPr>
                <w:rFonts w:ascii="Courier New" w:hAnsi="Courier New"/>
                <w:sz w:val="18"/>
              </w:rPr>
              <w:t>earning</w:t>
            </w:r>
            <w:r>
              <w:rPr>
                <w:rFonts w:ascii="Courier New" w:hAnsi="Courier New"/>
                <w:spacing w:val="-4"/>
                <w:sz w:val="18"/>
              </w:rPr>
              <w:t> </w:t>
            </w:r>
            <w:r>
              <w:rPr>
                <w:rFonts w:ascii="Courier New" w:hAnsi="Courier New"/>
                <w:sz w:val="18"/>
              </w:rPr>
              <w:t>(6</w:t>
            </w:r>
            <w:r>
              <w:rPr>
                <w:rFonts w:ascii="Courier New" w:hAnsi="Courier New"/>
                <w:spacing w:val="-4"/>
                <w:sz w:val="18"/>
              </w:rPr>
              <w:t> </w:t>
            </w:r>
            <w:r>
              <w:rPr>
                <w:rFonts w:ascii="Courier New" w:hAnsi="Courier New"/>
                <w:sz w:val="18"/>
              </w:rPr>
              <w:t>days):</w:t>
            </w:r>
            <w:r>
              <w:rPr>
                <w:rFonts w:ascii="Courier New" w:hAnsi="Courier New"/>
                <w:spacing w:val="-4"/>
                <w:sz w:val="18"/>
              </w:rPr>
              <w:t> </w:t>
            </w:r>
            <w:r>
              <w:rPr>
                <w:rFonts w:ascii="Courier New" w:hAnsi="Courier New"/>
                <w:sz w:val="18"/>
              </w:rPr>
              <w:t>₹5,400</w:t>
            </w:r>
            <w:r>
              <w:rPr>
                <w:rFonts w:ascii="Courier New" w:hAnsi="Courier New"/>
                <w:spacing w:val="47"/>
                <w:w w:val="150"/>
                <w:sz w:val="18"/>
              </w:rPr>
              <w:t> </w:t>
            </w:r>
            <w:r>
              <w:rPr>
                <w:rFonts w:ascii="Courier New" w:hAnsi="Courier New"/>
                <w:sz w:val="18"/>
              </w:rPr>
              <w:t>|</w:t>
            </w:r>
            <w:r>
              <w:rPr>
                <w:rFonts w:ascii="Courier New" w:hAnsi="Courier New"/>
                <w:spacing w:val="47"/>
                <w:w w:val="150"/>
                <w:sz w:val="18"/>
              </w:rPr>
              <w:t> </w:t>
            </w:r>
            <w:r>
              <w:rPr>
                <w:rFonts w:ascii="Courier New" w:hAnsi="Courier New"/>
                <w:sz w:val="18"/>
              </w:rPr>
              <w:t>Max</w:t>
            </w:r>
            <w:r>
              <w:rPr>
                <w:rFonts w:ascii="Courier New" w:hAnsi="Courier New"/>
                <w:spacing w:val="-4"/>
                <w:sz w:val="18"/>
              </w:rPr>
              <w:t> </w:t>
            </w:r>
            <w:r>
              <w:rPr>
                <w:rFonts w:ascii="Courier New" w:hAnsi="Courier New"/>
                <w:sz w:val="18"/>
              </w:rPr>
              <w:t>coverage</w:t>
            </w:r>
            <w:r>
              <w:rPr>
                <w:rFonts w:ascii="Courier New" w:hAnsi="Courier New"/>
                <w:spacing w:val="-5"/>
                <w:sz w:val="18"/>
              </w:rPr>
              <w:t> </w:t>
            </w:r>
            <w:r>
              <w:rPr>
                <w:rFonts w:ascii="Courier New" w:hAnsi="Courier New"/>
                <w:spacing w:val="-2"/>
                <w:sz w:val="18"/>
              </w:rPr>
              <w:t>ratio:</w:t>
            </w:r>
          </w:p>
        </w:tc>
        <w:tc>
          <w:tcPr>
            <w:tcW w:w="540" w:type="dxa"/>
            <w:shd w:val="clear" w:color="auto" w:fill="F4F4F4"/>
          </w:tcPr>
          <w:p>
            <w:pPr>
              <w:pStyle w:val="TableParagraph"/>
              <w:spacing w:before="199"/>
              <w:ind w:left="0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line="185" w:lineRule="exact" w:before="1"/>
              <w:ind w:left="53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spacing w:val="-4"/>
                <w:sz w:val="18"/>
              </w:rPr>
              <w:t>₹800</w:t>
            </w:r>
          </w:p>
        </w:tc>
        <w:tc>
          <w:tcPr>
            <w:tcW w:w="216" w:type="dxa"/>
            <w:shd w:val="clear" w:color="auto" w:fill="F4F4F4"/>
          </w:tcPr>
          <w:p>
            <w:pPr>
              <w:pStyle w:val="TableParagraph"/>
              <w:spacing w:before="199"/>
              <w:ind w:left="0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line="185" w:lineRule="exact" w:before="1"/>
              <w:ind w:left="53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10"/>
                <w:sz w:val="18"/>
              </w:rPr>
              <w:t>/</w:t>
            </w:r>
          </w:p>
        </w:tc>
        <w:tc>
          <w:tcPr>
            <w:tcW w:w="756" w:type="dxa"/>
            <w:shd w:val="clear" w:color="auto" w:fill="F4F4F4"/>
          </w:tcPr>
          <w:p>
            <w:pPr>
              <w:pStyle w:val="TableParagraph"/>
              <w:spacing w:before="199"/>
              <w:ind w:left="0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line="185" w:lineRule="exact" w:before="1"/>
              <w:ind w:left="53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spacing w:val="-2"/>
                <w:sz w:val="18"/>
              </w:rPr>
              <w:t>₹5,400</w:t>
            </w:r>
          </w:p>
        </w:tc>
        <w:tc>
          <w:tcPr>
            <w:tcW w:w="216" w:type="dxa"/>
            <w:shd w:val="clear" w:color="auto" w:fill="F4F4F4"/>
          </w:tcPr>
          <w:p>
            <w:pPr>
              <w:pStyle w:val="TableParagraph"/>
              <w:spacing w:before="199"/>
              <w:ind w:left="0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line="185" w:lineRule="exact" w:before="1"/>
              <w:ind w:left="53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10"/>
                <w:sz w:val="18"/>
              </w:rPr>
              <w:t>=</w:t>
            </w:r>
          </w:p>
        </w:tc>
        <w:tc>
          <w:tcPr>
            <w:tcW w:w="1668" w:type="dxa"/>
            <w:shd w:val="clear" w:color="auto" w:fill="F4F4F4"/>
          </w:tcPr>
          <w:p>
            <w:pPr>
              <w:pStyle w:val="TableParagraph"/>
              <w:spacing w:before="199"/>
              <w:ind w:left="0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line="185" w:lineRule="exact" w:before="1"/>
              <w:ind w:left="53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14.8%</w:t>
            </w:r>
          </w:p>
        </w:tc>
      </w:tr>
      <w:tr>
        <w:trPr>
          <w:trHeight w:val="1149" w:hRule="atLeast"/>
        </w:trPr>
        <w:tc>
          <w:tcPr>
            <w:tcW w:w="6023" w:type="dxa"/>
            <w:tcBorders>
              <w:bottom w:val="single" w:sz="4" w:space="0" w:color="1F487C"/>
            </w:tcBorders>
          </w:tcPr>
          <w:p>
            <w:pPr>
              <w:pStyle w:val="TableParagraph"/>
              <w:spacing w:before="241"/>
              <w:ind w:left="0"/>
              <w:rPr>
                <w:rFonts w:ascii="Arial"/>
                <w:b/>
                <w:sz w:val="36"/>
              </w:rPr>
            </w:pPr>
          </w:p>
          <w:p>
            <w:pPr>
              <w:pStyle w:val="TableParagraph"/>
              <w:spacing w:before="1"/>
              <w:ind w:left="28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1F487C"/>
                <w:sz w:val="36"/>
              </w:rPr>
              <w:t>5.</w:t>
            </w:r>
            <w:r>
              <w:rPr>
                <w:rFonts w:ascii="Arial"/>
                <w:b/>
                <w:color w:val="1F487C"/>
                <w:spacing w:val="-4"/>
                <w:sz w:val="36"/>
              </w:rPr>
              <w:t> </w:t>
            </w:r>
            <w:r>
              <w:rPr>
                <w:rFonts w:ascii="Arial"/>
                <w:b/>
                <w:color w:val="1F487C"/>
                <w:sz w:val="36"/>
              </w:rPr>
              <w:t>Premium</w:t>
            </w:r>
            <w:r>
              <w:rPr>
                <w:rFonts w:ascii="Arial"/>
                <w:b/>
                <w:color w:val="1F487C"/>
                <w:spacing w:val="-3"/>
                <w:sz w:val="36"/>
              </w:rPr>
              <w:t> </w:t>
            </w:r>
            <w:r>
              <w:rPr>
                <w:rFonts w:ascii="Arial"/>
                <w:b/>
                <w:color w:val="1F487C"/>
                <w:sz w:val="36"/>
              </w:rPr>
              <w:t>Range</w:t>
            </w:r>
            <w:r>
              <w:rPr>
                <w:rFonts w:ascii="Arial"/>
                <w:b/>
                <w:color w:val="1F487C"/>
                <w:spacing w:val="-4"/>
                <w:sz w:val="36"/>
              </w:rPr>
              <w:t> </w:t>
            </w:r>
            <w:r>
              <w:rPr>
                <w:rFonts w:ascii="Arial"/>
                <w:b/>
                <w:color w:val="1F487C"/>
                <w:spacing w:val="-2"/>
                <w:sz w:val="36"/>
              </w:rPr>
              <w:t>Table</w:t>
            </w:r>
          </w:p>
        </w:tc>
        <w:tc>
          <w:tcPr>
            <w:tcW w:w="540" w:type="dxa"/>
            <w:tcBorders>
              <w:bottom w:val="single" w:sz="4" w:space="0" w:color="1F487C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16" w:type="dxa"/>
            <w:tcBorders>
              <w:bottom w:val="single" w:sz="4" w:space="0" w:color="1F487C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756" w:type="dxa"/>
            <w:tcBorders>
              <w:bottom w:val="single" w:sz="4" w:space="0" w:color="1F487C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16" w:type="dxa"/>
            <w:tcBorders>
              <w:bottom w:val="single" w:sz="4" w:space="0" w:color="1F487C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668" w:type="dxa"/>
            <w:tcBorders>
              <w:bottom w:val="single" w:sz="4" w:space="0" w:color="1F487C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159"/>
        <w:ind w:left="360" w:right="478"/>
      </w:pPr>
      <w:r>
        <w:rPr/>
        <w:t>The</w:t>
      </w:r>
      <w:r>
        <w:rPr>
          <w:spacing w:val="-3"/>
        </w:rPr>
        <w:t> </w:t>
      </w:r>
      <w:r>
        <w:rPr/>
        <w:t>table</w:t>
      </w:r>
      <w:r>
        <w:rPr>
          <w:spacing w:val="-3"/>
        </w:rPr>
        <w:t> </w:t>
      </w:r>
      <w:r>
        <w:rPr/>
        <w:t>below</w:t>
      </w:r>
      <w:r>
        <w:rPr>
          <w:spacing w:val="-4"/>
        </w:rPr>
        <w:t> </w:t>
      </w:r>
      <w:r>
        <w:rPr/>
        <w:t>illustrates</w:t>
      </w:r>
      <w:r>
        <w:rPr>
          <w:spacing w:val="-2"/>
        </w:rPr>
        <w:t> </w:t>
      </w:r>
      <w:r>
        <w:rPr/>
        <w:t>expected</w:t>
      </w:r>
      <w:r>
        <w:rPr>
          <w:spacing w:val="-3"/>
        </w:rPr>
        <w:t> </w:t>
      </w:r>
      <w:r>
        <w:rPr/>
        <w:t>premium</w:t>
      </w:r>
      <w:r>
        <w:rPr>
          <w:spacing w:val="-4"/>
        </w:rPr>
        <w:t> </w:t>
      </w:r>
      <w:r>
        <w:rPr/>
        <w:t>ranges</w:t>
      </w:r>
      <w:r>
        <w:rPr>
          <w:spacing w:val="-2"/>
        </w:rPr>
        <w:t> </w:t>
      </w:r>
      <w:r>
        <w:rPr/>
        <w:t>by</w:t>
      </w:r>
      <w:r>
        <w:rPr>
          <w:spacing w:val="-5"/>
        </w:rPr>
        <w:t> </w:t>
      </w:r>
      <w:r>
        <w:rPr/>
        <w:t>city</w:t>
      </w:r>
      <w:r>
        <w:rPr>
          <w:spacing w:val="-2"/>
        </w:rPr>
        <w:t> </w:t>
      </w:r>
      <w:r>
        <w:rPr/>
        <w:t>and</w:t>
      </w:r>
      <w:r>
        <w:rPr>
          <w:spacing w:val="-5"/>
        </w:rPr>
        <w:t> </w:t>
      </w:r>
      <w:r>
        <w:rPr/>
        <w:t>zone</w:t>
      </w:r>
      <w:r>
        <w:rPr>
          <w:spacing w:val="-5"/>
        </w:rPr>
        <w:t> </w:t>
      </w:r>
      <w:r>
        <w:rPr/>
        <w:t>risk</w:t>
      </w:r>
      <w:r>
        <w:rPr>
          <w:spacing w:val="-5"/>
        </w:rPr>
        <w:t> </w:t>
      </w:r>
      <w:r>
        <w:rPr/>
        <w:t>tier,</w:t>
      </w:r>
      <w:r>
        <w:rPr>
          <w:spacing w:val="-1"/>
        </w:rPr>
        <w:t> </w:t>
      </w:r>
      <w:r>
        <w:rPr/>
        <w:t>assuming neutral weather and history multipliers (both = 1.0).</w:t>
      </w:r>
    </w:p>
    <w:p>
      <w:pPr>
        <w:pStyle w:val="BodyText"/>
        <w:spacing w:before="142"/>
        <w:rPr>
          <w:sz w:val="20"/>
        </w:rPr>
      </w:pPr>
    </w:p>
    <w:tbl>
      <w:tblPr>
        <w:tblW w:w="0" w:type="auto"/>
        <w:jc w:val="left"/>
        <w:tblInd w:w="363" w:type="dxa"/>
        <w:tblBorders>
          <w:top w:val="single" w:sz="2" w:space="0" w:color="878787"/>
          <w:left w:val="single" w:sz="2" w:space="0" w:color="878787"/>
          <w:bottom w:val="single" w:sz="2" w:space="0" w:color="878787"/>
          <w:right w:val="single" w:sz="2" w:space="0" w:color="878787"/>
          <w:insideH w:val="single" w:sz="2" w:space="0" w:color="878787"/>
          <w:insideV w:val="single" w:sz="2" w:space="0" w:color="87878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01"/>
        <w:gridCol w:w="2000"/>
        <w:gridCol w:w="1200"/>
        <w:gridCol w:w="1560"/>
        <w:gridCol w:w="1601"/>
        <w:gridCol w:w="1399"/>
      </w:tblGrid>
      <w:tr>
        <w:trPr>
          <w:trHeight w:val="364" w:hRule="atLeast"/>
        </w:trPr>
        <w:tc>
          <w:tcPr>
            <w:tcW w:w="1601" w:type="dxa"/>
            <w:shd w:val="clear" w:color="auto" w:fill="1F487C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4"/>
                <w:sz w:val="18"/>
              </w:rPr>
              <w:t>City</w:t>
            </w:r>
          </w:p>
        </w:tc>
        <w:tc>
          <w:tcPr>
            <w:tcW w:w="2000" w:type="dxa"/>
            <w:shd w:val="clear" w:color="auto" w:fill="1F487C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Zone</w:t>
            </w:r>
            <w:r>
              <w:rPr>
                <w:rFonts w:ascii="Arial"/>
                <w:b/>
                <w:color w:val="FFFFFF"/>
                <w:spacing w:val="-3"/>
                <w:sz w:val="18"/>
              </w:rPr>
              <w:t>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type</w:t>
            </w:r>
          </w:p>
        </w:tc>
        <w:tc>
          <w:tcPr>
            <w:tcW w:w="1200" w:type="dxa"/>
            <w:shd w:val="clear" w:color="auto" w:fill="1F487C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4"/>
                <w:sz w:val="18"/>
              </w:rPr>
              <w:t>Risk</w:t>
            </w:r>
          </w:p>
        </w:tc>
        <w:tc>
          <w:tcPr>
            <w:tcW w:w="1560" w:type="dxa"/>
            <w:shd w:val="clear" w:color="auto" w:fill="1F487C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zone_mult</w:t>
            </w:r>
          </w:p>
        </w:tc>
        <w:tc>
          <w:tcPr>
            <w:tcW w:w="1601" w:type="dxa"/>
            <w:shd w:val="clear" w:color="auto" w:fill="1F487C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Premium</w:t>
            </w:r>
            <w:r>
              <w:rPr>
                <w:rFonts w:ascii="Arial"/>
                <w:b/>
                <w:color w:val="FFFFFF"/>
                <w:spacing w:val="-3"/>
                <w:sz w:val="18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range</w:t>
            </w:r>
          </w:p>
        </w:tc>
        <w:tc>
          <w:tcPr>
            <w:tcW w:w="1399" w:type="dxa"/>
            <w:shd w:val="clear" w:color="auto" w:fill="1F487C"/>
          </w:tcPr>
          <w:p>
            <w:pPr>
              <w:pStyle w:val="TableParagraph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Weekly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 </w:t>
            </w:r>
            <w:r>
              <w:rPr>
                <w:rFonts w:ascii="Arial"/>
                <w:b/>
                <w:color w:val="FFFFFF"/>
                <w:spacing w:val="-5"/>
                <w:sz w:val="18"/>
              </w:rPr>
              <w:t>cap</w:t>
            </w:r>
          </w:p>
        </w:tc>
      </w:tr>
      <w:tr>
        <w:trPr>
          <w:trHeight w:val="364" w:hRule="atLeast"/>
        </w:trPr>
        <w:tc>
          <w:tcPr>
            <w:tcW w:w="1601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Mumbai</w:t>
            </w:r>
          </w:p>
        </w:tc>
        <w:tc>
          <w:tcPr>
            <w:tcW w:w="2000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Flood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prone</w:t>
            </w:r>
          </w:p>
        </w:tc>
        <w:tc>
          <w:tcPr>
            <w:tcW w:w="1200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1560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1.30–1.40</w:t>
            </w:r>
          </w:p>
        </w:tc>
        <w:tc>
          <w:tcPr>
            <w:tcW w:w="1601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95"/>
                <w:sz w:val="18"/>
              </w:rPr>
              <w:t>₹50–₹58</w:t>
            </w:r>
          </w:p>
        </w:tc>
        <w:tc>
          <w:tcPr>
            <w:tcW w:w="1399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TableParagraph"/>
              <w:ind w:left="120"/>
              <w:rPr>
                <w:sz w:val="18"/>
              </w:rPr>
            </w:pPr>
            <w:r>
              <w:rPr>
                <w:spacing w:val="-4"/>
                <w:sz w:val="18"/>
              </w:rPr>
              <w:t>₹800</w:t>
            </w:r>
          </w:p>
        </w:tc>
      </w:tr>
      <w:tr>
        <w:trPr>
          <w:trHeight w:val="362" w:hRule="atLeast"/>
        </w:trPr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Mumbai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Inland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Medium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1.10–1.20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95"/>
                <w:sz w:val="18"/>
              </w:rPr>
              <w:t>₹42–₹46</w:t>
            </w:r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>
            <w:pPr>
              <w:pStyle w:val="TableParagraph"/>
              <w:ind w:left="120"/>
              <w:rPr>
                <w:sz w:val="18"/>
              </w:rPr>
            </w:pPr>
            <w:r>
              <w:rPr>
                <w:spacing w:val="-4"/>
                <w:sz w:val="18"/>
              </w:rPr>
              <w:t>₹800</w:t>
            </w:r>
          </w:p>
        </w:tc>
      </w:tr>
      <w:tr>
        <w:trPr>
          <w:trHeight w:val="364" w:hRule="atLeast"/>
        </w:trPr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Delhi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High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AQI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zone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1.25–1.35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95"/>
                <w:sz w:val="18"/>
              </w:rPr>
              <w:t>₹48–₹52</w:t>
            </w:r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TableParagraph"/>
              <w:ind w:left="120"/>
              <w:rPr>
                <w:sz w:val="18"/>
              </w:rPr>
            </w:pPr>
            <w:r>
              <w:rPr>
                <w:spacing w:val="-4"/>
                <w:sz w:val="18"/>
              </w:rPr>
              <w:t>₹800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type w:val="continuous"/>
          <w:pgSz w:w="12240" w:h="15840"/>
          <w:pgMar w:header="0" w:footer="707" w:top="1420" w:bottom="1483" w:left="1080" w:right="1080"/>
        </w:sectPr>
      </w:pPr>
    </w:p>
    <w:tbl>
      <w:tblPr>
        <w:tblW w:w="0" w:type="auto"/>
        <w:jc w:val="left"/>
        <w:tblInd w:w="363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01"/>
        <w:gridCol w:w="2000"/>
        <w:gridCol w:w="1200"/>
        <w:gridCol w:w="1560"/>
        <w:gridCol w:w="1601"/>
        <w:gridCol w:w="1399"/>
      </w:tblGrid>
      <w:tr>
        <w:trPr>
          <w:trHeight w:val="365" w:hRule="atLeast"/>
        </w:trPr>
        <w:tc>
          <w:tcPr>
            <w:tcW w:w="1601" w:type="dxa"/>
            <w:shd w:val="clear" w:color="auto" w:fill="F5F5F5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Delhi</w:t>
            </w:r>
          </w:p>
        </w:tc>
        <w:tc>
          <w:tcPr>
            <w:tcW w:w="2000" w:type="dxa"/>
            <w:shd w:val="clear" w:color="auto" w:fill="F5F5F5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Outer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green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zone</w:t>
            </w:r>
          </w:p>
        </w:tc>
        <w:tc>
          <w:tcPr>
            <w:tcW w:w="1200" w:type="dxa"/>
            <w:shd w:val="clear" w:color="auto" w:fill="F5F5F5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Low</w:t>
            </w:r>
          </w:p>
        </w:tc>
        <w:tc>
          <w:tcPr>
            <w:tcW w:w="1560" w:type="dxa"/>
            <w:shd w:val="clear" w:color="auto" w:fill="F5F5F5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0.90–1.00</w:t>
            </w:r>
          </w:p>
        </w:tc>
        <w:tc>
          <w:tcPr>
            <w:tcW w:w="1601" w:type="dxa"/>
            <w:shd w:val="clear" w:color="auto" w:fill="F5F5F5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95"/>
                <w:sz w:val="18"/>
              </w:rPr>
              <w:t>₹35–₹38</w:t>
            </w:r>
          </w:p>
        </w:tc>
        <w:tc>
          <w:tcPr>
            <w:tcW w:w="1399" w:type="dxa"/>
            <w:shd w:val="clear" w:color="auto" w:fill="F5F5F5"/>
          </w:tcPr>
          <w:p>
            <w:pPr>
              <w:pStyle w:val="TableParagraph"/>
              <w:ind w:left="120"/>
              <w:rPr>
                <w:sz w:val="18"/>
              </w:rPr>
            </w:pPr>
            <w:r>
              <w:rPr>
                <w:spacing w:val="-4"/>
                <w:sz w:val="18"/>
              </w:rPr>
              <w:t>₹800</w:t>
            </w:r>
          </w:p>
        </w:tc>
      </w:tr>
      <w:tr>
        <w:trPr>
          <w:trHeight w:val="362" w:hRule="atLeast"/>
        </w:trPr>
        <w:tc>
          <w:tcPr>
            <w:tcW w:w="160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Chennai</w:t>
            </w:r>
          </w:p>
        </w:tc>
        <w:tc>
          <w:tcPr>
            <w:tcW w:w="20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Coastal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/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heat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prone</w:t>
            </w:r>
          </w:p>
        </w:tc>
        <w:tc>
          <w:tcPr>
            <w:tcW w:w="12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Medium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1.10–1.20</w:t>
            </w:r>
          </w:p>
        </w:tc>
        <w:tc>
          <w:tcPr>
            <w:tcW w:w="160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95"/>
                <w:sz w:val="18"/>
              </w:rPr>
              <w:t>₹40–₹44</w:t>
            </w:r>
          </w:p>
        </w:tc>
        <w:tc>
          <w:tcPr>
            <w:tcW w:w="1399" w:type="dxa"/>
          </w:tcPr>
          <w:p>
            <w:pPr>
              <w:pStyle w:val="TableParagraph"/>
              <w:ind w:left="120"/>
              <w:rPr>
                <w:sz w:val="18"/>
              </w:rPr>
            </w:pPr>
            <w:r>
              <w:rPr>
                <w:spacing w:val="-4"/>
                <w:sz w:val="18"/>
              </w:rPr>
              <w:t>₹800</w:t>
            </w:r>
          </w:p>
        </w:tc>
      </w:tr>
      <w:tr>
        <w:trPr>
          <w:trHeight w:val="364" w:hRule="atLeast"/>
        </w:trPr>
        <w:tc>
          <w:tcPr>
            <w:tcW w:w="1601" w:type="dxa"/>
            <w:shd w:val="clear" w:color="auto" w:fill="F5F5F5"/>
          </w:tcPr>
          <w:p>
            <w:pPr>
              <w:pStyle w:val="TableParagraph"/>
              <w:spacing w:before="79"/>
              <w:rPr>
                <w:sz w:val="18"/>
              </w:rPr>
            </w:pPr>
            <w:r>
              <w:rPr>
                <w:spacing w:val="-2"/>
                <w:sz w:val="18"/>
              </w:rPr>
              <w:t>Chennai</w:t>
            </w:r>
          </w:p>
        </w:tc>
        <w:tc>
          <w:tcPr>
            <w:tcW w:w="2000" w:type="dxa"/>
            <w:shd w:val="clear" w:color="auto" w:fill="F5F5F5"/>
          </w:tcPr>
          <w:p>
            <w:pPr>
              <w:pStyle w:val="TableParagraph"/>
              <w:spacing w:before="79"/>
              <w:rPr>
                <w:sz w:val="18"/>
              </w:rPr>
            </w:pPr>
            <w:r>
              <w:rPr>
                <w:spacing w:val="-2"/>
                <w:sz w:val="18"/>
              </w:rPr>
              <w:t>Inland</w:t>
            </w:r>
          </w:p>
        </w:tc>
        <w:tc>
          <w:tcPr>
            <w:tcW w:w="1200" w:type="dxa"/>
            <w:shd w:val="clear" w:color="auto" w:fill="F5F5F5"/>
          </w:tcPr>
          <w:p>
            <w:pPr>
              <w:pStyle w:val="TableParagraph"/>
              <w:spacing w:before="79"/>
              <w:rPr>
                <w:sz w:val="18"/>
              </w:rPr>
            </w:pPr>
            <w:r>
              <w:rPr>
                <w:spacing w:val="-2"/>
                <w:sz w:val="18"/>
              </w:rPr>
              <w:t>Low-</w:t>
            </w:r>
            <w:r>
              <w:rPr>
                <w:spacing w:val="-5"/>
                <w:sz w:val="18"/>
              </w:rPr>
              <w:t>Med</w:t>
            </w:r>
          </w:p>
        </w:tc>
        <w:tc>
          <w:tcPr>
            <w:tcW w:w="1560" w:type="dxa"/>
            <w:shd w:val="clear" w:color="auto" w:fill="F5F5F5"/>
          </w:tcPr>
          <w:p>
            <w:pPr>
              <w:pStyle w:val="TableParagraph"/>
              <w:spacing w:before="79"/>
              <w:rPr>
                <w:sz w:val="18"/>
              </w:rPr>
            </w:pPr>
            <w:r>
              <w:rPr>
                <w:spacing w:val="-2"/>
                <w:sz w:val="18"/>
              </w:rPr>
              <w:t>1.00–1.10</w:t>
            </w:r>
          </w:p>
        </w:tc>
        <w:tc>
          <w:tcPr>
            <w:tcW w:w="1601" w:type="dxa"/>
            <w:shd w:val="clear" w:color="auto" w:fill="F5F5F5"/>
          </w:tcPr>
          <w:p>
            <w:pPr>
              <w:pStyle w:val="TableParagraph"/>
              <w:spacing w:before="79"/>
              <w:rPr>
                <w:sz w:val="18"/>
              </w:rPr>
            </w:pPr>
            <w:r>
              <w:rPr>
                <w:spacing w:val="-2"/>
                <w:w w:val="95"/>
                <w:sz w:val="18"/>
              </w:rPr>
              <w:t>₹37–₹40</w:t>
            </w:r>
          </w:p>
        </w:tc>
        <w:tc>
          <w:tcPr>
            <w:tcW w:w="1399" w:type="dxa"/>
            <w:shd w:val="clear" w:color="auto" w:fill="F5F5F5"/>
          </w:tcPr>
          <w:p>
            <w:pPr>
              <w:pStyle w:val="TableParagraph"/>
              <w:spacing w:before="79"/>
              <w:ind w:left="120"/>
              <w:rPr>
                <w:sz w:val="18"/>
              </w:rPr>
            </w:pPr>
            <w:r>
              <w:rPr>
                <w:spacing w:val="-4"/>
                <w:sz w:val="18"/>
              </w:rPr>
              <w:t>₹800</w:t>
            </w:r>
          </w:p>
        </w:tc>
      </w:tr>
      <w:tr>
        <w:trPr>
          <w:trHeight w:val="364" w:hRule="atLeast"/>
        </w:trPr>
        <w:tc>
          <w:tcPr>
            <w:tcW w:w="160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Bangalore</w:t>
            </w:r>
          </w:p>
        </w:tc>
        <w:tc>
          <w:tcPr>
            <w:tcW w:w="20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Low-lying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area</w:t>
            </w:r>
          </w:p>
        </w:tc>
        <w:tc>
          <w:tcPr>
            <w:tcW w:w="12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Medium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1.10–1.20</w:t>
            </w:r>
          </w:p>
        </w:tc>
        <w:tc>
          <w:tcPr>
            <w:tcW w:w="160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95"/>
                <w:sz w:val="18"/>
              </w:rPr>
              <w:t>₹38–₹42</w:t>
            </w:r>
          </w:p>
        </w:tc>
        <w:tc>
          <w:tcPr>
            <w:tcW w:w="1399" w:type="dxa"/>
          </w:tcPr>
          <w:p>
            <w:pPr>
              <w:pStyle w:val="TableParagraph"/>
              <w:ind w:left="120"/>
              <w:rPr>
                <w:sz w:val="18"/>
              </w:rPr>
            </w:pPr>
            <w:r>
              <w:rPr>
                <w:spacing w:val="-4"/>
                <w:sz w:val="18"/>
              </w:rPr>
              <w:t>₹800</w:t>
            </w:r>
          </w:p>
        </w:tc>
      </w:tr>
      <w:tr>
        <w:trPr>
          <w:trHeight w:val="364" w:hRule="atLeast"/>
        </w:trPr>
        <w:tc>
          <w:tcPr>
            <w:tcW w:w="1601" w:type="dxa"/>
            <w:shd w:val="clear" w:color="auto" w:fill="F5F5F5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Bangalore</w:t>
            </w:r>
          </w:p>
        </w:tc>
        <w:tc>
          <w:tcPr>
            <w:tcW w:w="2000" w:type="dxa"/>
            <w:shd w:val="clear" w:color="auto" w:fill="F5F5F5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Elevated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area</w:t>
            </w:r>
          </w:p>
        </w:tc>
        <w:tc>
          <w:tcPr>
            <w:tcW w:w="1200" w:type="dxa"/>
            <w:shd w:val="clear" w:color="auto" w:fill="F5F5F5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Low</w:t>
            </w:r>
          </w:p>
        </w:tc>
        <w:tc>
          <w:tcPr>
            <w:tcW w:w="1560" w:type="dxa"/>
            <w:shd w:val="clear" w:color="auto" w:fill="F5F5F5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0.90–1.00</w:t>
            </w:r>
          </w:p>
        </w:tc>
        <w:tc>
          <w:tcPr>
            <w:tcW w:w="1601" w:type="dxa"/>
            <w:shd w:val="clear" w:color="auto" w:fill="F5F5F5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95"/>
                <w:sz w:val="18"/>
              </w:rPr>
              <w:t>₹32–₹35</w:t>
            </w:r>
          </w:p>
        </w:tc>
        <w:tc>
          <w:tcPr>
            <w:tcW w:w="1399" w:type="dxa"/>
            <w:shd w:val="clear" w:color="auto" w:fill="F5F5F5"/>
          </w:tcPr>
          <w:p>
            <w:pPr>
              <w:pStyle w:val="TableParagraph"/>
              <w:ind w:left="120"/>
              <w:rPr>
                <w:sz w:val="18"/>
              </w:rPr>
            </w:pPr>
            <w:r>
              <w:rPr>
                <w:spacing w:val="-4"/>
                <w:sz w:val="18"/>
              </w:rPr>
              <w:t>₹800</w:t>
            </w:r>
          </w:p>
        </w:tc>
      </w:tr>
      <w:tr>
        <w:trPr>
          <w:trHeight w:val="362" w:hRule="atLeast"/>
        </w:trPr>
        <w:tc>
          <w:tcPr>
            <w:tcW w:w="160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Hyderabad</w:t>
            </w:r>
          </w:p>
        </w:tc>
        <w:tc>
          <w:tcPr>
            <w:tcW w:w="20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Old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city</w:t>
            </w:r>
          </w:p>
        </w:tc>
        <w:tc>
          <w:tcPr>
            <w:tcW w:w="12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Medium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1.00–1.15</w:t>
            </w:r>
          </w:p>
        </w:tc>
        <w:tc>
          <w:tcPr>
            <w:tcW w:w="160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95"/>
                <w:sz w:val="18"/>
              </w:rPr>
              <w:t>₹35–₹40</w:t>
            </w:r>
          </w:p>
        </w:tc>
        <w:tc>
          <w:tcPr>
            <w:tcW w:w="1399" w:type="dxa"/>
          </w:tcPr>
          <w:p>
            <w:pPr>
              <w:pStyle w:val="TableParagraph"/>
              <w:ind w:left="120"/>
              <w:rPr>
                <w:sz w:val="18"/>
              </w:rPr>
            </w:pPr>
            <w:r>
              <w:rPr>
                <w:spacing w:val="-4"/>
                <w:sz w:val="18"/>
              </w:rPr>
              <w:t>₹800</w:t>
            </w:r>
          </w:p>
        </w:tc>
      </w:tr>
      <w:tr>
        <w:trPr>
          <w:trHeight w:val="364" w:hRule="atLeast"/>
        </w:trPr>
        <w:tc>
          <w:tcPr>
            <w:tcW w:w="1601" w:type="dxa"/>
            <w:shd w:val="clear" w:color="auto" w:fill="F5F5F5"/>
          </w:tcPr>
          <w:p>
            <w:pPr>
              <w:pStyle w:val="TableParagraph"/>
              <w:spacing w:before="79"/>
              <w:rPr>
                <w:sz w:val="18"/>
              </w:rPr>
            </w:pPr>
            <w:r>
              <w:rPr>
                <w:spacing w:val="-2"/>
                <w:sz w:val="18"/>
              </w:rPr>
              <w:t>Hyderabad</w:t>
            </w:r>
          </w:p>
        </w:tc>
        <w:tc>
          <w:tcPr>
            <w:tcW w:w="2000" w:type="dxa"/>
            <w:shd w:val="clear" w:color="auto" w:fill="F5F5F5"/>
          </w:tcPr>
          <w:p>
            <w:pPr>
              <w:pStyle w:val="TableParagraph"/>
              <w:spacing w:before="79"/>
              <w:rPr>
                <w:sz w:val="18"/>
              </w:rPr>
            </w:pPr>
            <w:r>
              <w:rPr>
                <w:sz w:val="18"/>
              </w:rPr>
              <w:t>HITEC</w:t>
            </w:r>
            <w:r>
              <w:rPr>
                <w:spacing w:val="-4"/>
                <w:sz w:val="18"/>
              </w:rPr>
              <w:t> City</w:t>
            </w:r>
          </w:p>
        </w:tc>
        <w:tc>
          <w:tcPr>
            <w:tcW w:w="1200" w:type="dxa"/>
            <w:shd w:val="clear" w:color="auto" w:fill="F5F5F5"/>
          </w:tcPr>
          <w:p>
            <w:pPr>
              <w:pStyle w:val="TableParagraph"/>
              <w:spacing w:before="79"/>
              <w:rPr>
                <w:sz w:val="18"/>
              </w:rPr>
            </w:pPr>
            <w:r>
              <w:rPr>
                <w:spacing w:val="-5"/>
                <w:sz w:val="18"/>
              </w:rPr>
              <w:t>Low</w:t>
            </w:r>
          </w:p>
        </w:tc>
        <w:tc>
          <w:tcPr>
            <w:tcW w:w="1560" w:type="dxa"/>
            <w:shd w:val="clear" w:color="auto" w:fill="F5F5F5"/>
          </w:tcPr>
          <w:p>
            <w:pPr>
              <w:pStyle w:val="TableParagraph"/>
              <w:spacing w:before="79"/>
              <w:rPr>
                <w:sz w:val="18"/>
              </w:rPr>
            </w:pPr>
            <w:r>
              <w:rPr>
                <w:spacing w:val="-2"/>
                <w:sz w:val="18"/>
              </w:rPr>
              <w:t>0.85–0.95</w:t>
            </w:r>
          </w:p>
        </w:tc>
        <w:tc>
          <w:tcPr>
            <w:tcW w:w="1601" w:type="dxa"/>
            <w:shd w:val="clear" w:color="auto" w:fill="F5F5F5"/>
          </w:tcPr>
          <w:p>
            <w:pPr>
              <w:pStyle w:val="TableParagraph"/>
              <w:spacing w:before="79"/>
              <w:rPr>
                <w:sz w:val="18"/>
              </w:rPr>
            </w:pPr>
            <w:r>
              <w:rPr>
                <w:spacing w:val="-2"/>
                <w:w w:val="95"/>
                <w:sz w:val="18"/>
              </w:rPr>
              <w:t>₹30–₹33</w:t>
            </w:r>
          </w:p>
        </w:tc>
        <w:tc>
          <w:tcPr>
            <w:tcW w:w="1399" w:type="dxa"/>
            <w:shd w:val="clear" w:color="auto" w:fill="F5F5F5"/>
          </w:tcPr>
          <w:p>
            <w:pPr>
              <w:pStyle w:val="TableParagraph"/>
              <w:spacing w:before="79"/>
              <w:ind w:left="120"/>
              <w:rPr>
                <w:sz w:val="18"/>
              </w:rPr>
            </w:pPr>
            <w:r>
              <w:rPr>
                <w:spacing w:val="-4"/>
                <w:sz w:val="18"/>
              </w:rPr>
              <w:t>₹800</w:t>
            </w:r>
          </w:p>
        </w:tc>
      </w:tr>
    </w:tbl>
    <w:p>
      <w:pPr>
        <w:pStyle w:val="BodyText"/>
        <w:spacing w:before="260"/>
        <w:rPr>
          <w:sz w:val="36"/>
        </w:rPr>
      </w:pPr>
    </w:p>
    <w:p>
      <w:pPr>
        <w:pStyle w:val="Heading1"/>
        <w:numPr>
          <w:ilvl w:val="0"/>
          <w:numId w:val="2"/>
        </w:numPr>
        <w:tabs>
          <w:tab w:pos="760" w:val="left" w:leader="none"/>
        </w:tabs>
        <w:spacing w:line="240" w:lineRule="auto" w:before="0" w:after="0"/>
        <w:ind w:left="760" w:right="0" w:hanging="400"/>
        <w:jc w:val="left"/>
      </w:pPr>
      <w:r>
        <w:rPr>
          <w:color w:val="1F487C"/>
        </w:rPr>
        <w:t>Business</w:t>
      </w:r>
      <w:r>
        <w:rPr>
          <w:color w:val="1F487C"/>
          <w:spacing w:val="-3"/>
        </w:rPr>
        <w:t> </w:t>
      </w:r>
      <w:r>
        <w:rPr>
          <w:color w:val="1F487C"/>
          <w:spacing w:val="-2"/>
        </w:rPr>
        <w:t>Viability</w:t>
      </w:r>
    </w:p>
    <w:p>
      <w:pPr>
        <w:pStyle w:val="BodyText"/>
        <w:rPr>
          <w:rFonts w:ascii="Arial"/>
          <w:b/>
          <w:sz w:val="5"/>
        </w:rPr>
      </w:pPr>
      <w:r>
        <w:rPr>
          <w:rFonts w:ascii="Arial"/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896416</wp:posOffset>
                </wp:positionH>
                <wp:positionV relativeFrom="paragraph">
                  <wp:posOffset>52368</wp:posOffset>
                </wp:positionV>
                <wp:extent cx="5981065" cy="635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9810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635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81065" y="6096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87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4.123506pt;width:470.95pt;height:.48001pt;mso-position-horizontal-relative:page;mso-position-vertical-relative:paragraph;z-index:-15726080;mso-wrap-distance-left:0;mso-wrap-distance-right:0" id="docshape7" filled="true" fillcolor="#1f487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numPr>
          <w:ilvl w:val="1"/>
          <w:numId w:val="2"/>
        </w:numPr>
        <w:tabs>
          <w:tab w:pos="902" w:val="left" w:leader="none"/>
        </w:tabs>
        <w:spacing w:line="240" w:lineRule="auto" w:before="318" w:after="0"/>
        <w:ind w:left="902" w:right="0" w:hanging="542"/>
        <w:jc w:val="left"/>
      </w:pPr>
      <w:r>
        <w:rPr>
          <w:color w:val="2D75B6"/>
        </w:rPr>
        <w:t>Target</w:t>
      </w:r>
      <w:r>
        <w:rPr>
          <w:color w:val="2D75B6"/>
          <w:spacing w:val="-8"/>
        </w:rPr>
        <w:t> </w:t>
      </w:r>
      <w:r>
        <w:rPr>
          <w:color w:val="2D75B6"/>
        </w:rPr>
        <w:t>Loss</w:t>
      </w:r>
      <w:r>
        <w:rPr>
          <w:color w:val="2D75B6"/>
          <w:spacing w:val="-5"/>
        </w:rPr>
        <w:t> </w:t>
      </w:r>
      <w:r>
        <w:rPr>
          <w:color w:val="2D75B6"/>
        </w:rPr>
        <w:t>Ratio:</w:t>
      </w:r>
      <w:r>
        <w:rPr>
          <w:color w:val="2D75B6"/>
          <w:spacing w:val="-2"/>
        </w:rPr>
        <w:t> </w:t>
      </w:r>
      <w:r>
        <w:rPr>
          <w:color w:val="2D75B6"/>
          <w:spacing w:val="-5"/>
        </w:rPr>
        <w:t>65%</w:t>
      </w:r>
    </w:p>
    <w:p>
      <w:pPr>
        <w:pStyle w:val="BodyText"/>
        <w:spacing w:line="252" w:lineRule="exact" w:before="121"/>
        <w:ind w:left="360"/>
      </w:pPr>
      <w:r>
        <w:rPr/>
        <w:t>Our</w:t>
      </w:r>
      <w:r>
        <w:rPr>
          <w:spacing w:val="-11"/>
        </w:rPr>
        <w:t> </w:t>
      </w:r>
      <w:r>
        <w:rPr/>
        <w:t>goal</w:t>
      </w:r>
      <w:r>
        <w:rPr>
          <w:spacing w:val="-10"/>
        </w:rPr>
        <w:t> </w:t>
      </w:r>
      <w:r>
        <w:rPr/>
        <w:t>is</w:t>
      </w:r>
      <w:r>
        <w:rPr>
          <w:spacing w:val="-12"/>
        </w:rPr>
        <w:t> </w:t>
      </w:r>
      <w:r>
        <w:rPr/>
        <w:t>to</w:t>
      </w:r>
      <w:r>
        <w:rPr>
          <w:spacing w:val="-11"/>
        </w:rPr>
        <w:t> </w:t>
      </w:r>
      <w:r>
        <w:rPr/>
        <w:t>maintain</w:t>
      </w:r>
      <w:r>
        <w:rPr>
          <w:spacing w:val="-10"/>
        </w:rPr>
        <w:t> </w:t>
      </w:r>
      <w:r>
        <w:rPr/>
        <w:t>a</w:t>
      </w:r>
      <w:r>
        <w:rPr>
          <w:spacing w:val="-13"/>
        </w:rPr>
        <w:t> </w:t>
      </w:r>
      <w:r>
        <w:rPr/>
        <w:t>loss</w:t>
      </w:r>
      <w:r>
        <w:rPr>
          <w:spacing w:val="-9"/>
        </w:rPr>
        <w:t> </w:t>
      </w:r>
      <w:r>
        <w:rPr/>
        <w:t>ratio</w:t>
      </w:r>
      <w:r>
        <w:rPr>
          <w:spacing w:val="-10"/>
        </w:rPr>
        <w:t> </w:t>
      </w:r>
      <w:r>
        <w:rPr/>
        <w:t>where</w:t>
      </w:r>
      <w:r>
        <w:rPr>
          <w:spacing w:val="-11"/>
        </w:rPr>
        <w:t> </w:t>
      </w:r>
      <w:r>
        <w:rPr/>
        <w:t>for</w:t>
      </w:r>
      <w:r>
        <w:rPr>
          <w:spacing w:val="-9"/>
        </w:rPr>
        <w:t> </w:t>
      </w:r>
      <w:r>
        <w:rPr/>
        <w:t>every</w:t>
      </w:r>
      <w:r>
        <w:rPr>
          <w:spacing w:val="-9"/>
        </w:rPr>
        <w:t> </w:t>
      </w:r>
      <w:r>
        <w:rPr/>
        <w:t>₹100</w:t>
      </w:r>
      <w:r>
        <w:rPr>
          <w:spacing w:val="-9"/>
        </w:rPr>
        <w:t> </w:t>
      </w:r>
      <w:r>
        <w:rPr/>
        <w:t>collected</w:t>
      </w:r>
      <w:r>
        <w:rPr>
          <w:spacing w:val="-12"/>
        </w:rPr>
        <w:t> </w:t>
      </w:r>
      <w:r>
        <w:rPr/>
        <w:t>in</w:t>
      </w:r>
      <w:r>
        <w:rPr>
          <w:spacing w:val="-9"/>
        </w:rPr>
        <w:t> </w:t>
      </w:r>
      <w:r>
        <w:rPr/>
        <w:t>premiums,</w:t>
      </w:r>
      <w:r>
        <w:rPr>
          <w:spacing w:val="-10"/>
        </w:rPr>
        <w:t> </w:t>
      </w:r>
      <w:r>
        <w:rPr/>
        <w:t>a</w:t>
      </w:r>
      <w:r>
        <w:rPr>
          <w:spacing w:val="-11"/>
        </w:rPr>
        <w:t> </w:t>
      </w:r>
      <w:r>
        <w:rPr/>
        <w:t>maximum</w:t>
      </w:r>
      <w:r>
        <w:rPr>
          <w:spacing w:val="-11"/>
        </w:rPr>
        <w:t> </w:t>
      </w:r>
      <w:r>
        <w:rPr>
          <w:spacing w:val="-5"/>
        </w:rPr>
        <w:t>of</w:t>
      </w:r>
    </w:p>
    <w:p>
      <w:pPr>
        <w:pStyle w:val="BodyText"/>
        <w:ind w:left="360" w:right="311"/>
      </w:pPr>
      <w:r>
        <w:rPr/>
        <w:t>₹65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paid</w:t>
      </w:r>
      <w:r>
        <w:rPr>
          <w:spacing w:val="-9"/>
        </w:rPr>
        <w:t> </w:t>
      </w:r>
      <w:r>
        <w:rPr/>
        <w:t>out</w:t>
      </w:r>
      <w:r>
        <w:rPr>
          <w:spacing w:val="-7"/>
        </w:rPr>
        <w:t> </w:t>
      </w:r>
      <w:r>
        <w:rPr/>
        <w:t>in</w:t>
      </w:r>
      <w:r>
        <w:rPr>
          <w:spacing w:val="-11"/>
        </w:rPr>
        <w:t> </w:t>
      </w:r>
      <w:r>
        <w:rPr/>
        <w:t>claims.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remaining</w:t>
      </w:r>
      <w:r>
        <w:rPr>
          <w:spacing w:val="-9"/>
        </w:rPr>
        <w:t> </w:t>
      </w:r>
      <w:r>
        <w:rPr/>
        <w:t>35%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allocated</w:t>
      </w:r>
      <w:r>
        <w:rPr>
          <w:spacing w:val="-9"/>
        </w:rPr>
        <w:t> </w:t>
      </w:r>
      <w:r>
        <w:rPr/>
        <w:t>to</w:t>
      </w:r>
      <w:r>
        <w:rPr>
          <w:spacing w:val="-11"/>
        </w:rPr>
        <w:t> </w:t>
      </w:r>
      <w:r>
        <w:rPr/>
        <w:t>operational</w:t>
      </w:r>
      <w:r>
        <w:rPr>
          <w:spacing w:val="-9"/>
        </w:rPr>
        <w:t> </w:t>
      </w:r>
      <w:r>
        <w:rPr/>
        <w:t>costs,</w:t>
      </w:r>
      <w:r>
        <w:rPr>
          <w:spacing w:val="-10"/>
        </w:rPr>
        <w:t> </w:t>
      </w:r>
      <w:r>
        <w:rPr/>
        <w:t>transaction</w:t>
      </w:r>
      <w:r>
        <w:rPr>
          <w:spacing w:val="-11"/>
        </w:rPr>
        <w:t> </w:t>
      </w:r>
      <w:r>
        <w:rPr/>
        <w:t>fees, and a sustainable profit margin. The dynamic multipliers are the primary instrument for maintaining this ratio across the annual cycle.</w:t>
      </w:r>
    </w:p>
    <w:p>
      <w:pPr>
        <w:pStyle w:val="BodyText"/>
      </w:pPr>
    </w:p>
    <w:p>
      <w:pPr>
        <w:pStyle w:val="BodyText"/>
        <w:spacing w:before="185"/>
      </w:pPr>
    </w:p>
    <w:p>
      <w:pPr>
        <w:pStyle w:val="Heading2"/>
        <w:numPr>
          <w:ilvl w:val="1"/>
          <w:numId w:val="2"/>
        </w:numPr>
        <w:tabs>
          <w:tab w:pos="902" w:val="left" w:leader="none"/>
        </w:tabs>
        <w:spacing w:line="240" w:lineRule="auto" w:before="0" w:after="0"/>
        <w:ind w:left="902" w:right="0" w:hanging="542"/>
        <w:jc w:val="left"/>
      </w:pPr>
      <w:r>
        <w:rPr>
          <w:color w:val="2D75B6"/>
        </w:rPr>
        <w:t>Break-Even</w:t>
      </w:r>
      <w:r>
        <w:rPr>
          <w:color w:val="2D75B6"/>
          <w:spacing w:val="-7"/>
        </w:rPr>
        <w:t> </w:t>
      </w:r>
      <w:r>
        <w:rPr>
          <w:color w:val="2D75B6"/>
          <w:spacing w:val="-2"/>
        </w:rPr>
        <w:t>Analysis</w:t>
      </w:r>
    </w:p>
    <w:p>
      <w:pPr>
        <w:pStyle w:val="BodyText"/>
        <w:spacing w:before="121"/>
        <w:ind w:left="360" w:right="311"/>
      </w:pPr>
      <w:r>
        <w:rPr/>
        <w:t>Fixed</w:t>
      </w:r>
      <w:r>
        <w:rPr>
          <w:spacing w:val="-9"/>
        </w:rPr>
        <w:t> </w:t>
      </w:r>
      <w:r>
        <w:rPr/>
        <w:t>monthly</w:t>
      </w:r>
      <w:r>
        <w:rPr>
          <w:spacing w:val="-8"/>
        </w:rPr>
        <w:t> </w:t>
      </w:r>
      <w:r>
        <w:rPr/>
        <w:t>costs</w:t>
      </w:r>
      <w:r>
        <w:rPr>
          <w:spacing w:val="-8"/>
        </w:rPr>
        <w:t> </w:t>
      </w:r>
      <w:r>
        <w:rPr/>
        <w:t>are</w:t>
      </w:r>
      <w:r>
        <w:rPr>
          <w:spacing w:val="-10"/>
        </w:rPr>
        <w:t> </w:t>
      </w:r>
      <w:r>
        <w:rPr/>
        <w:t>estimated</w:t>
      </w:r>
      <w:r>
        <w:rPr>
          <w:spacing w:val="-9"/>
        </w:rPr>
        <w:t> </w:t>
      </w:r>
      <w:r>
        <w:rPr/>
        <w:t>at</w:t>
      </w:r>
      <w:r>
        <w:rPr>
          <w:spacing w:val="-7"/>
        </w:rPr>
        <w:t> </w:t>
      </w:r>
      <w:r>
        <w:rPr/>
        <w:t>₹50,000</w:t>
      </w:r>
      <w:r>
        <w:rPr>
          <w:spacing w:val="-10"/>
        </w:rPr>
        <w:t> </w:t>
      </w:r>
      <w:r>
        <w:rPr/>
        <w:t>(servers,</w:t>
      </w:r>
      <w:r>
        <w:rPr>
          <w:spacing w:val="-7"/>
        </w:rPr>
        <w:t> </w:t>
      </w:r>
      <w:r>
        <w:rPr/>
        <w:t>API</w:t>
      </w:r>
      <w:r>
        <w:rPr>
          <w:spacing w:val="-7"/>
        </w:rPr>
        <w:t> </w:t>
      </w:r>
      <w:r>
        <w:rPr/>
        <w:t>subscriptions,</w:t>
      </w:r>
      <w:r>
        <w:rPr>
          <w:spacing w:val="-10"/>
        </w:rPr>
        <w:t> </w:t>
      </w:r>
      <w:r>
        <w:rPr/>
        <w:t>developer</w:t>
      </w:r>
      <w:r>
        <w:rPr>
          <w:spacing w:val="-8"/>
        </w:rPr>
        <w:t> </w:t>
      </w:r>
      <w:r>
        <w:rPr/>
        <w:t>salaries</w:t>
      </w:r>
      <w:r>
        <w:rPr>
          <w:spacing w:val="-10"/>
        </w:rPr>
        <w:t> </w:t>
      </w:r>
      <w:r>
        <w:rPr/>
        <w:t>at hackathon</w:t>
      </w:r>
      <w:r>
        <w:rPr>
          <w:spacing w:val="-5"/>
        </w:rPr>
        <w:t> </w:t>
      </w:r>
      <w:r>
        <w:rPr/>
        <w:t>scale).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costs</w:t>
      </w:r>
      <w:r>
        <w:rPr>
          <w:spacing w:val="-4"/>
        </w:rPr>
        <w:t> </w:t>
      </w:r>
      <w:r>
        <w:rPr/>
        <w:t>—</w:t>
      </w:r>
      <w:r>
        <w:rPr>
          <w:spacing w:val="-5"/>
        </w:rPr>
        <w:t> </w:t>
      </w:r>
      <w:r>
        <w:rPr/>
        <w:t>Razorpay</w:t>
      </w:r>
      <w:r>
        <w:rPr>
          <w:spacing w:val="-5"/>
        </w:rPr>
        <w:t> </w:t>
      </w:r>
      <w:r>
        <w:rPr/>
        <w:t>transaction</w:t>
      </w:r>
      <w:r>
        <w:rPr>
          <w:spacing w:val="-5"/>
        </w:rPr>
        <w:t> </w:t>
      </w:r>
      <w:r>
        <w:rPr/>
        <w:t>fees</w:t>
      </w:r>
      <w:r>
        <w:rPr>
          <w:spacing w:val="-5"/>
        </w:rPr>
        <w:t> </w:t>
      </w:r>
      <w:r>
        <w:rPr/>
        <w:t>(approximately</w:t>
      </w:r>
      <w:r>
        <w:rPr>
          <w:spacing w:val="-2"/>
        </w:rPr>
        <w:t> </w:t>
      </w:r>
      <w:r>
        <w:rPr/>
        <w:t>2%</w:t>
      </w:r>
      <w:r>
        <w:rPr>
          <w:spacing w:val="-5"/>
        </w:rPr>
        <w:t> </w:t>
      </w:r>
      <w:r>
        <w:rPr/>
        <w:t>per</w:t>
      </w:r>
      <w:r>
        <w:rPr>
          <w:spacing w:val="-4"/>
        </w:rPr>
        <w:t> </w:t>
      </w:r>
      <w:r>
        <w:rPr/>
        <w:t>payment) and per-claim processing overhead — are excluded from the simplified model below and included in the full scenario model in Section 6.4.</w:t>
      </w:r>
    </w:p>
    <w:p>
      <w:pPr>
        <w:pStyle w:val="BodyText"/>
        <w:spacing w:before="11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896416</wp:posOffset>
                </wp:positionH>
                <wp:positionV relativeFrom="paragraph">
                  <wp:posOffset>236413</wp:posOffset>
                </wp:positionV>
                <wp:extent cx="5981065" cy="938530"/>
                <wp:effectExtent l="0" t="0" r="0" b="0"/>
                <wp:wrapTopAndBottom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5981065" cy="938530"/>
                          <a:chExt cx="5981065" cy="93853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668"/>
                            <a:ext cx="5981065" cy="937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937260">
                                <a:moveTo>
                                  <a:pt x="5981065" y="548652"/>
                                </a:moveTo>
                                <a:lnTo>
                                  <a:pt x="0" y="548652"/>
                                </a:lnTo>
                                <a:lnTo>
                                  <a:pt x="0" y="678180"/>
                                </a:lnTo>
                                <a:lnTo>
                                  <a:pt x="0" y="807720"/>
                                </a:lnTo>
                                <a:lnTo>
                                  <a:pt x="0" y="937260"/>
                                </a:lnTo>
                                <a:lnTo>
                                  <a:pt x="5981065" y="937260"/>
                                </a:lnTo>
                                <a:lnTo>
                                  <a:pt x="5981065" y="807720"/>
                                </a:lnTo>
                                <a:lnTo>
                                  <a:pt x="5981065" y="678180"/>
                                </a:lnTo>
                                <a:lnTo>
                                  <a:pt x="5981065" y="548652"/>
                                </a:lnTo>
                                <a:close/>
                              </a:path>
                              <a:path w="5981065" h="937260">
                                <a:moveTo>
                                  <a:pt x="5981065" y="129552"/>
                                </a:moveTo>
                                <a:lnTo>
                                  <a:pt x="0" y="129552"/>
                                </a:lnTo>
                                <a:lnTo>
                                  <a:pt x="0" y="259080"/>
                                </a:lnTo>
                                <a:lnTo>
                                  <a:pt x="0" y="388620"/>
                                </a:lnTo>
                                <a:lnTo>
                                  <a:pt x="0" y="548640"/>
                                </a:lnTo>
                                <a:lnTo>
                                  <a:pt x="5981065" y="548640"/>
                                </a:lnTo>
                                <a:lnTo>
                                  <a:pt x="5981065" y="388620"/>
                                </a:lnTo>
                                <a:lnTo>
                                  <a:pt x="5981065" y="259080"/>
                                </a:lnTo>
                                <a:lnTo>
                                  <a:pt x="5981065" y="129552"/>
                                </a:lnTo>
                                <a:close/>
                              </a:path>
                              <a:path w="5981065" h="93726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540"/>
                                </a:lnTo>
                                <a:lnTo>
                                  <a:pt x="5981065" y="129540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18288" y="0"/>
                            <a:ext cx="1178560" cy="388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18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Weekly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fixed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cost Average premium Policies needed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1458468" y="0"/>
                            <a:ext cx="2550160" cy="388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₹50,000</w:t>
                              </w:r>
                              <w:r>
                                <w:rPr>
                                  <w:rFonts w:ascii="Courier New" w:hAnsi="Courier New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Courier New" w:hAnsi="Courier New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4.33</w:t>
                              </w:r>
                              <w:r>
                                <w:rPr>
                                  <w:rFonts w:ascii="Courier New" w:hAnsi="Courier New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weeks</w:t>
                              </w:r>
                              <w:r>
                                <w:rPr>
                                  <w:rFonts w:ascii="Courier New" w:hAnsi="Courier New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 w:hAnsi="Courier New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₹11,547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₹45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Courier New" w:hAnsi="Courier New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week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₹11,547</w:t>
                              </w:r>
                              <w:r>
                                <w:rPr>
                                  <w:rFonts w:ascii="Courier New" w:hAnsi="Courier New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Courier New" w:hAnsi="Courier New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₹45</w:t>
                              </w:r>
                              <w:r>
                                <w:rPr>
                                  <w:rFonts w:ascii="Courier New" w:hAnsi="Courier New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 w:hAnsi="Courier New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257</w:t>
                              </w:r>
                              <w:r>
                                <w:rPr>
                                  <w:rFonts w:ascii="Courier New" w:hAnsi="Courier New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active</w:t>
                              </w:r>
                              <w:r>
                                <w:rPr>
                                  <w:rFonts w:ascii="Courier New" w:hAnsi="Courier New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policies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18288" y="548640"/>
                            <a:ext cx="4951095" cy="388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215" w:right="18" w:hanging="216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Including variable costs (Razorpay 2% + ₹2 per-claim overhead): Effective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revenue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per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policy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₹45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×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0.98</w:t>
                              </w:r>
                              <w:r>
                                <w:rPr>
                                  <w:rFonts w:ascii="Courier New" w:hAnsi="Courier New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Courier New" w:hAnsi="Courier New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₹2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claim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overhead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₹42.10 Policies needed (full cost)</w:t>
                              </w:r>
                              <w:r>
                                <w:rPr>
                                  <w:rFonts w:ascii="Courier New" w:hAnsi="Courier New"/>
                                  <w:spacing w:val="8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= ₹11,547 / ₹42.10 = 274 active policies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584pt;margin-top:18.615261pt;width:470.95pt;height:73.9pt;mso-position-horizontal-relative:page;mso-position-vertical-relative:paragraph;z-index:-15725568;mso-wrap-distance-left:0;mso-wrap-distance-right:0" id="docshapegroup8" coordorigin="1412,372" coordsize="9419,1478">
                <v:shape style="position:absolute;left:1411;top:373;width:9419;height:1476" id="docshape9" coordorigin="1412,373" coordsize="9419,1476" path="m10831,1237l1412,1237,1412,1441,1412,1645,1412,1849,10831,1849,10831,1645,10831,1441,10831,1237xm10831,577l1412,577,1412,781,1412,985,1412,1237,10831,1237,10831,985,10831,781,10831,577xm10831,373l1412,373,1412,577,10831,577,10831,373xe" filled="true" fillcolor="#f4f4f4" stroked="false">
                  <v:path arrowok="t"/>
                  <v:fill type="solid"/>
                </v:shape>
                <v:shape style="position:absolute;left:1440;top:372;width:1856;height:612" type="#_x0000_t202" id="docshape1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18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Weekly</w:t>
                        </w:r>
                        <w:r>
                          <w:rPr>
                            <w:rFonts w:ascii="Courier New"/>
                            <w:spacing w:val="-2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fixed</w:t>
                        </w:r>
                        <w:r>
                          <w:rPr>
                            <w:rFonts w:ascii="Courier New"/>
                            <w:spacing w:val="-2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cost Average premium Policies needed</w:t>
                        </w:r>
                      </w:p>
                    </w:txbxContent>
                  </v:textbox>
                  <w10:wrap type="none"/>
                </v:shape>
                <v:shape style="position:absolute;left:3708;top:372;width:4016;height:612" type="#_x0000_t202" id="docshape1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=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₹50,000</w:t>
                        </w:r>
                        <w:r>
                          <w:rPr>
                            <w:rFonts w:ascii="Courier New" w:hAnsi="Courier New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/</w:t>
                        </w:r>
                        <w:r>
                          <w:rPr>
                            <w:rFonts w:ascii="Courier New" w:hAnsi="Courier New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4.33</w:t>
                        </w:r>
                        <w:r>
                          <w:rPr>
                            <w:rFonts w:ascii="Courier New" w:hAnsi="Courier New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weeks</w:t>
                        </w:r>
                        <w:r>
                          <w:rPr>
                            <w:rFonts w:ascii="Courier New" w:hAnsi="Courier New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=</w:t>
                        </w:r>
                        <w:r>
                          <w:rPr>
                            <w:rFonts w:ascii="Courier New" w:hAnsi="Courier New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₹11,547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=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₹45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/</w:t>
                        </w:r>
                        <w:r>
                          <w:rPr>
                            <w:rFonts w:ascii="Courier New" w:hAnsi="Courier New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week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=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₹11,547</w:t>
                        </w:r>
                        <w:r>
                          <w:rPr>
                            <w:rFonts w:ascii="Courier New" w:hAnsi="Courier New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/</w:t>
                        </w:r>
                        <w:r>
                          <w:rPr>
                            <w:rFonts w:ascii="Courier New" w:hAnsi="Courier New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₹45</w:t>
                        </w:r>
                        <w:r>
                          <w:rPr>
                            <w:rFonts w:ascii="Courier New" w:hAnsi="Courier New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=</w:t>
                        </w:r>
                        <w:r>
                          <w:rPr>
                            <w:rFonts w:ascii="Courier New" w:hAnsi="Courier New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257</w:t>
                        </w:r>
                        <w:r>
                          <w:rPr>
                            <w:rFonts w:ascii="Courier New" w:hAnsi="Courier New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active</w:t>
                        </w:r>
                        <w:r>
                          <w:rPr>
                            <w:rFonts w:ascii="Courier New" w:hAnsi="Courier New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policies</w:t>
                        </w:r>
                      </w:p>
                    </w:txbxContent>
                  </v:textbox>
                  <w10:wrap type="none"/>
                </v:shape>
                <v:shape style="position:absolute;left:1440;top:1236;width:7797;height:612" type="#_x0000_t202" id="docshape12" filled="false" stroked="false">
                  <v:textbox inset="0,0,0,0">
                    <w:txbxContent>
                      <w:p>
                        <w:pPr>
                          <w:spacing w:before="0"/>
                          <w:ind w:left="215" w:right="18" w:hanging="216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Including variable costs (Razorpay 2% + ₹2 per-claim overhead): Effective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revenue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per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policy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=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₹45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×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0.98</w:t>
                        </w:r>
                        <w:r>
                          <w:rPr>
                            <w:rFonts w:ascii="Courier New" w:hAnsi="Courier New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-</w:t>
                        </w:r>
                        <w:r>
                          <w:rPr>
                            <w:rFonts w:ascii="Courier New" w:hAnsi="Courier New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₹2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claim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overhead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=</w:t>
                        </w:r>
                        <w:r>
                          <w:rPr>
                            <w:rFonts w:ascii="Courier New" w:hAnsi="Courier New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₹42.10 Policies needed (full cost)</w:t>
                        </w:r>
                        <w:r>
                          <w:rPr>
                            <w:rFonts w:ascii="Courier New" w:hAnsi="Courier New"/>
                            <w:spacing w:val="8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= ₹11,547 / ₹42.10 = 274 active policies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4"/>
        <w:rPr>
          <w:sz w:val="20"/>
        </w:rPr>
      </w:pPr>
    </w:p>
    <w:p>
      <w:pPr>
        <w:spacing w:before="0"/>
        <w:ind w:left="720" w:right="311" w:firstLine="0"/>
        <w:jc w:val="left"/>
        <w:rPr>
          <w:rFonts w:ascii="Arial"/>
          <w:i/>
          <w:sz w:val="20"/>
        </w:rPr>
      </w:pPr>
      <w:r>
        <w:rPr>
          <w:rFonts w:ascii="Arial"/>
          <w:i/>
          <w:color w:val="545454"/>
          <w:sz w:val="20"/>
        </w:rPr>
        <w:t>This</w:t>
      </w:r>
      <w:r>
        <w:rPr>
          <w:rFonts w:ascii="Arial"/>
          <w:i/>
          <w:color w:val="545454"/>
          <w:spacing w:val="-3"/>
          <w:sz w:val="20"/>
        </w:rPr>
        <w:t> </w:t>
      </w:r>
      <w:r>
        <w:rPr>
          <w:rFonts w:ascii="Arial"/>
          <w:i/>
          <w:color w:val="545454"/>
          <w:sz w:val="20"/>
        </w:rPr>
        <w:t>indicates</w:t>
      </w:r>
      <w:r>
        <w:rPr>
          <w:rFonts w:ascii="Arial"/>
          <w:i/>
          <w:color w:val="545454"/>
          <w:spacing w:val="-3"/>
          <w:sz w:val="20"/>
        </w:rPr>
        <w:t> </w:t>
      </w:r>
      <w:r>
        <w:rPr>
          <w:rFonts w:ascii="Arial"/>
          <w:i/>
          <w:color w:val="545454"/>
          <w:sz w:val="20"/>
        </w:rPr>
        <w:t>the</w:t>
      </w:r>
      <w:r>
        <w:rPr>
          <w:rFonts w:ascii="Arial"/>
          <w:i/>
          <w:color w:val="545454"/>
          <w:spacing w:val="-4"/>
          <w:sz w:val="20"/>
        </w:rPr>
        <w:t> </w:t>
      </w:r>
      <w:r>
        <w:rPr>
          <w:rFonts w:ascii="Arial"/>
          <w:i/>
          <w:color w:val="545454"/>
          <w:sz w:val="20"/>
        </w:rPr>
        <w:t>model</w:t>
      </w:r>
      <w:r>
        <w:rPr>
          <w:rFonts w:ascii="Arial"/>
          <w:i/>
          <w:color w:val="545454"/>
          <w:spacing w:val="-5"/>
          <w:sz w:val="20"/>
        </w:rPr>
        <w:t> </w:t>
      </w:r>
      <w:r>
        <w:rPr>
          <w:rFonts w:ascii="Arial"/>
          <w:i/>
          <w:color w:val="545454"/>
          <w:sz w:val="20"/>
        </w:rPr>
        <w:t>can</w:t>
      </w:r>
      <w:r>
        <w:rPr>
          <w:rFonts w:ascii="Arial"/>
          <w:i/>
          <w:color w:val="545454"/>
          <w:spacing w:val="-4"/>
          <w:sz w:val="20"/>
        </w:rPr>
        <w:t> </w:t>
      </w:r>
      <w:r>
        <w:rPr>
          <w:rFonts w:ascii="Arial"/>
          <w:i/>
          <w:color w:val="545454"/>
          <w:sz w:val="20"/>
        </w:rPr>
        <w:t>reach</w:t>
      </w:r>
      <w:r>
        <w:rPr>
          <w:rFonts w:ascii="Arial"/>
          <w:i/>
          <w:color w:val="545454"/>
          <w:spacing w:val="-4"/>
          <w:sz w:val="20"/>
        </w:rPr>
        <w:t> </w:t>
      </w:r>
      <w:r>
        <w:rPr>
          <w:rFonts w:ascii="Arial"/>
          <w:i/>
          <w:color w:val="545454"/>
          <w:sz w:val="20"/>
        </w:rPr>
        <w:t>operational</w:t>
      </w:r>
      <w:r>
        <w:rPr>
          <w:rFonts w:ascii="Arial"/>
          <w:i/>
          <w:color w:val="545454"/>
          <w:spacing w:val="-5"/>
          <w:sz w:val="20"/>
        </w:rPr>
        <w:t> </w:t>
      </w:r>
      <w:r>
        <w:rPr>
          <w:rFonts w:ascii="Arial"/>
          <w:i/>
          <w:color w:val="545454"/>
          <w:sz w:val="20"/>
        </w:rPr>
        <w:t>break-even</w:t>
      </w:r>
      <w:r>
        <w:rPr>
          <w:rFonts w:ascii="Arial"/>
          <w:i/>
          <w:color w:val="545454"/>
          <w:spacing w:val="-5"/>
          <w:sz w:val="20"/>
        </w:rPr>
        <w:t> </w:t>
      </w:r>
      <w:r>
        <w:rPr>
          <w:rFonts w:ascii="Arial"/>
          <w:i/>
          <w:color w:val="545454"/>
          <w:sz w:val="20"/>
        </w:rPr>
        <w:t>at</w:t>
      </w:r>
      <w:r>
        <w:rPr>
          <w:rFonts w:ascii="Arial"/>
          <w:i/>
          <w:color w:val="545454"/>
          <w:spacing w:val="-2"/>
          <w:sz w:val="20"/>
        </w:rPr>
        <w:t> </w:t>
      </w:r>
      <w:r>
        <w:rPr>
          <w:rFonts w:ascii="Arial"/>
          <w:i/>
          <w:color w:val="545454"/>
          <w:sz w:val="20"/>
        </w:rPr>
        <w:t>a</w:t>
      </w:r>
      <w:r>
        <w:rPr>
          <w:rFonts w:ascii="Arial"/>
          <w:i/>
          <w:color w:val="545454"/>
          <w:spacing w:val="-4"/>
          <w:sz w:val="20"/>
        </w:rPr>
        <w:t> </w:t>
      </w:r>
      <w:r>
        <w:rPr>
          <w:rFonts w:ascii="Arial"/>
          <w:i/>
          <w:color w:val="545454"/>
          <w:sz w:val="20"/>
        </w:rPr>
        <w:t>small</w:t>
      </w:r>
      <w:r>
        <w:rPr>
          <w:rFonts w:ascii="Arial"/>
          <w:i/>
          <w:color w:val="545454"/>
          <w:spacing w:val="-5"/>
          <w:sz w:val="20"/>
        </w:rPr>
        <w:t> </w:t>
      </w:r>
      <w:r>
        <w:rPr>
          <w:rFonts w:ascii="Arial"/>
          <w:i/>
          <w:color w:val="545454"/>
          <w:sz w:val="20"/>
        </w:rPr>
        <w:t>scale,</w:t>
      </w:r>
      <w:r>
        <w:rPr>
          <w:rFonts w:ascii="Arial"/>
          <w:i/>
          <w:color w:val="545454"/>
          <w:spacing w:val="-2"/>
          <w:sz w:val="20"/>
        </w:rPr>
        <w:t> </w:t>
      </w:r>
      <w:r>
        <w:rPr>
          <w:rFonts w:ascii="Arial"/>
          <w:i/>
          <w:color w:val="545454"/>
          <w:sz w:val="20"/>
        </w:rPr>
        <w:t>demonstrating</w:t>
      </w:r>
      <w:r>
        <w:rPr>
          <w:rFonts w:ascii="Arial"/>
          <w:i/>
          <w:color w:val="545454"/>
          <w:spacing w:val="-4"/>
          <w:sz w:val="20"/>
        </w:rPr>
        <w:t> </w:t>
      </w:r>
      <w:r>
        <w:rPr>
          <w:rFonts w:ascii="Arial"/>
          <w:i/>
          <w:color w:val="545454"/>
          <w:sz w:val="20"/>
        </w:rPr>
        <w:t>capital efficiency before requiring significant marketing investment.</w:t>
      </w: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191"/>
        <w:rPr>
          <w:rFonts w:ascii="Arial"/>
          <w:i/>
          <w:sz w:val="20"/>
        </w:rPr>
      </w:pPr>
    </w:p>
    <w:p>
      <w:pPr>
        <w:pStyle w:val="Heading2"/>
        <w:numPr>
          <w:ilvl w:val="1"/>
          <w:numId w:val="2"/>
        </w:numPr>
        <w:tabs>
          <w:tab w:pos="904" w:val="left" w:leader="none"/>
        </w:tabs>
        <w:spacing w:line="240" w:lineRule="auto" w:before="0" w:after="0"/>
        <w:ind w:left="904" w:right="0" w:hanging="544"/>
        <w:jc w:val="left"/>
      </w:pPr>
      <w:r>
        <w:rPr>
          <w:color w:val="2D75B6"/>
        </w:rPr>
        <w:t>Annual</w:t>
      </w:r>
      <w:r>
        <w:rPr>
          <w:color w:val="2D75B6"/>
          <w:spacing w:val="-10"/>
        </w:rPr>
        <w:t> </w:t>
      </w:r>
      <w:r>
        <w:rPr>
          <w:color w:val="2D75B6"/>
        </w:rPr>
        <w:t>Reserve</w:t>
      </w:r>
      <w:r>
        <w:rPr>
          <w:color w:val="2D75B6"/>
          <w:spacing w:val="-9"/>
        </w:rPr>
        <w:t> </w:t>
      </w:r>
      <w:r>
        <w:rPr>
          <w:color w:val="2D75B6"/>
        </w:rPr>
        <w:t>Accumulation</w:t>
      </w:r>
      <w:r>
        <w:rPr>
          <w:color w:val="2D75B6"/>
          <w:spacing w:val="-11"/>
        </w:rPr>
        <w:t> </w:t>
      </w:r>
      <w:r>
        <w:rPr>
          <w:color w:val="2D75B6"/>
          <w:spacing w:val="-4"/>
        </w:rPr>
        <w:t>Model</w:t>
      </w:r>
    </w:p>
    <w:p>
      <w:pPr>
        <w:pStyle w:val="BodyText"/>
        <w:spacing w:before="123"/>
        <w:ind w:left="360" w:right="478"/>
      </w:pPr>
      <w:r>
        <w:rPr/>
        <w:t>The loss ratio is not uniform throughout the year. Monsoon season (June–September) and winter smog season (November–January) generate elevated claim rates,</w:t>
      </w:r>
      <w:r>
        <w:rPr>
          <w:spacing w:val="-1"/>
        </w:rPr>
        <w:t> </w:t>
      </w:r>
      <w:r>
        <w:rPr/>
        <w:t>while the remaining weeks</w:t>
      </w:r>
      <w:r>
        <w:rPr>
          <w:spacing w:val="-1"/>
        </w:rPr>
        <w:t> </w:t>
      </w:r>
      <w:r>
        <w:rPr/>
        <w:t>are</w:t>
      </w:r>
      <w:r>
        <w:rPr>
          <w:spacing w:val="-4"/>
        </w:rPr>
        <w:t> </w:t>
      </w:r>
      <w:r>
        <w:rPr/>
        <w:t>low-claim.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reserve</w:t>
      </w:r>
      <w:r>
        <w:rPr>
          <w:spacing w:val="-4"/>
        </w:rPr>
        <w:t> </w:t>
      </w:r>
      <w:r>
        <w:rPr/>
        <w:t>model</w:t>
      </w:r>
      <w:r>
        <w:rPr>
          <w:spacing w:val="-3"/>
        </w:rPr>
        <w:t> </w:t>
      </w:r>
      <w:r>
        <w:rPr/>
        <w:t>shows</w:t>
      </w:r>
      <w:r>
        <w:rPr>
          <w:spacing w:val="-4"/>
        </w:rPr>
        <w:t> </w:t>
      </w:r>
      <w:r>
        <w:rPr/>
        <w:t>how</w:t>
      </w:r>
      <w:r>
        <w:rPr>
          <w:spacing w:val="-3"/>
        </w:rPr>
        <w:t> </w:t>
      </w:r>
      <w:r>
        <w:rPr/>
        <w:t>surplus</w:t>
      </w:r>
      <w:r>
        <w:rPr>
          <w:spacing w:val="-4"/>
        </w:rPr>
        <w:t> </w:t>
      </w:r>
      <w:r>
        <w:rPr/>
        <w:t>from</w:t>
      </w:r>
      <w:r>
        <w:rPr>
          <w:spacing w:val="-3"/>
        </w:rPr>
        <w:t> </w:t>
      </w:r>
      <w:r>
        <w:rPr/>
        <w:t>quiet</w:t>
      </w:r>
      <w:r>
        <w:rPr>
          <w:spacing w:val="-1"/>
        </w:rPr>
        <w:t> </w:t>
      </w:r>
      <w:r>
        <w:rPr/>
        <w:t>weeks</w:t>
      </w:r>
      <w:r>
        <w:rPr>
          <w:spacing w:val="-2"/>
        </w:rPr>
        <w:t> </w:t>
      </w:r>
      <w:r>
        <w:rPr/>
        <w:t>funds the</w:t>
      </w:r>
      <w:r>
        <w:rPr>
          <w:spacing w:val="-2"/>
        </w:rPr>
        <w:t> </w:t>
      </w:r>
      <w:r>
        <w:rPr/>
        <w:t>high- payout periods to balance out at the target 65% annual loss ratio.</w:t>
      </w:r>
    </w:p>
    <w:p>
      <w:pPr>
        <w:pStyle w:val="BodyText"/>
        <w:spacing w:after="0"/>
        <w:sectPr>
          <w:type w:val="continuous"/>
          <w:pgSz w:w="12240" w:h="15840"/>
          <w:pgMar w:header="0" w:footer="707" w:top="1420" w:bottom="900" w:left="1080" w:right="1080"/>
        </w:sectPr>
      </w:pPr>
    </w:p>
    <w:p>
      <w:pPr>
        <w:pStyle w:val="BodyText"/>
        <w:spacing w:before="80"/>
        <w:ind w:left="360" w:right="478"/>
      </w:pPr>
      <w:r>
        <w:rPr/>
        <w:t>The table below models a single Mumbai market with 500 active policies, using realistic seasonality.</w:t>
      </w:r>
      <w:r>
        <w:rPr>
          <w:spacing w:val="-4"/>
        </w:rPr>
        <w:t> </w:t>
      </w:r>
      <w:r>
        <w:rPr/>
        <w:t>Week</w:t>
      </w:r>
      <w:r>
        <w:rPr>
          <w:spacing w:val="-5"/>
        </w:rPr>
        <w:t> </w:t>
      </w:r>
      <w:r>
        <w:rPr/>
        <w:t>types</w:t>
      </w:r>
      <w:r>
        <w:rPr>
          <w:spacing w:val="-5"/>
        </w:rPr>
        <w:t> </w:t>
      </w:r>
      <w:r>
        <w:rPr/>
        <w:t>are:</w:t>
      </w:r>
      <w:r>
        <w:rPr>
          <w:spacing w:val="-4"/>
        </w:rPr>
        <w:t> </w:t>
      </w:r>
      <w:r>
        <w:rPr/>
        <w:t>Low</w:t>
      </w:r>
      <w:r>
        <w:rPr>
          <w:spacing w:val="-3"/>
        </w:rPr>
        <w:t> </w:t>
      </w:r>
      <w:r>
        <w:rPr/>
        <w:t>(10%</w:t>
      </w:r>
      <w:r>
        <w:rPr>
          <w:spacing w:val="-4"/>
        </w:rPr>
        <w:t> </w:t>
      </w:r>
      <w:r>
        <w:rPr/>
        <w:t>claim</w:t>
      </w:r>
      <w:r>
        <w:rPr>
          <w:spacing w:val="-4"/>
        </w:rPr>
        <w:t> </w:t>
      </w:r>
      <w:r>
        <w:rPr/>
        <w:t>rate),</w:t>
      </w:r>
      <w:r>
        <w:rPr>
          <w:spacing w:val="-4"/>
        </w:rPr>
        <w:t> </w:t>
      </w:r>
      <w:r>
        <w:rPr/>
        <w:t>Moderate</w:t>
      </w:r>
      <w:r>
        <w:rPr>
          <w:spacing w:val="-5"/>
        </w:rPr>
        <w:t> </w:t>
      </w:r>
      <w:r>
        <w:rPr/>
        <w:t>(25%</w:t>
      </w:r>
      <w:r>
        <w:rPr>
          <w:spacing w:val="-2"/>
        </w:rPr>
        <w:t> </w:t>
      </w:r>
      <w:r>
        <w:rPr/>
        <w:t>claim</w:t>
      </w:r>
      <w:r>
        <w:rPr>
          <w:spacing w:val="-4"/>
        </w:rPr>
        <w:t> </w:t>
      </w:r>
      <w:r>
        <w:rPr/>
        <w:t>rate),</w:t>
      </w:r>
      <w:r>
        <w:rPr>
          <w:spacing w:val="-1"/>
        </w:rPr>
        <w:t> </w:t>
      </w:r>
      <w:r>
        <w:rPr/>
        <w:t>Peak</w:t>
      </w:r>
      <w:r>
        <w:rPr>
          <w:spacing w:val="-5"/>
        </w:rPr>
        <w:t> </w:t>
      </w:r>
      <w:r>
        <w:rPr/>
        <w:t>(40% claim rate, monsoon or severe smog).</w:t>
      </w:r>
    </w:p>
    <w:p>
      <w:pPr>
        <w:pStyle w:val="BodyText"/>
        <w:spacing w:before="144"/>
        <w:rPr>
          <w:sz w:val="20"/>
        </w:rPr>
      </w:pPr>
    </w:p>
    <w:tbl>
      <w:tblPr>
        <w:tblW w:w="0" w:type="auto"/>
        <w:jc w:val="left"/>
        <w:tblInd w:w="363" w:type="dxa"/>
        <w:tblBorders>
          <w:top w:val="single" w:sz="2" w:space="0" w:color="878787"/>
          <w:left w:val="single" w:sz="2" w:space="0" w:color="878787"/>
          <w:bottom w:val="single" w:sz="2" w:space="0" w:color="878787"/>
          <w:right w:val="single" w:sz="2" w:space="0" w:color="878787"/>
          <w:insideH w:val="single" w:sz="2" w:space="0" w:color="878787"/>
          <w:insideV w:val="single" w:sz="2" w:space="0" w:color="87878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02"/>
        <w:gridCol w:w="1201"/>
        <w:gridCol w:w="1560"/>
        <w:gridCol w:w="1599"/>
        <w:gridCol w:w="1602"/>
        <w:gridCol w:w="1400"/>
      </w:tblGrid>
      <w:tr>
        <w:trPr>
          <w:trHeight w:val="570" w:hRule="atLeast"/>
        </w:trPr>
        <w:tc>
          <w:tcPr>
            <w:tcW w:w="2002" w:type="dxa"/>
            <w:shd w:val="clear" w:color="auto" w:fill="1F487C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Week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type</w:t>
            </w:r>
          </w:p>
        </w:tc>
        <w:tc>
          <w:tcPr>
            <w:tcW w:w="1201" w:type="dxa"/>
            <w:shd w:val="clear" w:color="auto" w:fill="1F487C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Weeks/yr</w:t>
            </w:r>
          </w:p>
        </w:tc>
        <w:tc>
          <w:tcPr>
            <w:tcW w:w="1560" w:type="dxa"/>
            <w:shd w:val="clear" w:color="auto" w:fill="1F487C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Claim</w:t>
            </w:r>
            <w:r>
              <w:rPr>
                <w:rFonts w:ascii="Arial"/>
                <w:b/>
                <w:color w:val="FFFFFF"/>
                <w:spacing w:val="-3"/>
                <w:sz w:val="18"/>
              </w:rPr>
              <w:t>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rate</w:t>
            </w:r>
          </w:p>
        </w:tc>
        <w:tc>
          <w:tcPr>
            <w:tcW w:w="1599" w:type="dxa"/>
            <w:shd w:val="clear" w:color="auto" w:fill="1F487C"/>
          </w:tcPr>
          <w:p>
            <w:pPr>
              <w:pStyle w:val="TableParagraph"/>
              <w:ind w:right="33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Weekly </w:t>
            </w:r>
            <w:r>
              <w:rPr>
                <w:rFonts w:ascii="Arial"/>
                <w:b/>
                <w:color w:val="FFFFFF"/>
                <w:sz w:val="18"/>
              </w:rPr>
              <w:t>premium</w:t>
            </w:r>
            <w:r>
              <w:rPr>
                <w:rFonts w:ascii="Arial"/>
                <w:b/>
                <w:color w:val="FFFFFF"/>
                <w:spacing w:val="-13"/>
                <w:sz w:val="18"/>
              </w:rPr>
              <w:t> </w:t>
            </w:r>
            <w:r>
              <w:rPr>
                <w:rFonts w:ascii="Arial"/>
                <w:b/>
                <w:color w:val="FFFFFF"/>
                <w:sz w:val="18"/>
              </w:rPr>
              <w:t>rev.</w:t>
            </w:r>
          </w:p>
        </w:tc>
        <w:tc>
          <w:tcPr>
            <w:tcW w:w="1602" w:type="dxa"/>
            <w:shd w:val="clear" w:color="auto" w:fill="1F487C"/>
          </w:tcPr>
          <w:p>
            <w:pPr>
              <w:pStyle w:val="TableParagraph"/>
              <w:ind w:left="11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Weekly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 payout</w:t>
            </w:r>
          </w:p>
        </w:tc>
        <w:tc>
          <w:tcPr>
            <w:tcW w:w="1400" w:type="dxa"/>
            <w:shd w:val="clear" w:color="auto" w:fill="1F487C"/>
          </w:tcPr>
          <w:p>
            <w:pPr>
              <w:pStyle w:val="TableParagraph"/>
              <w:ind w:left="11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Net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 weekly</w:t>
            </w:r>
          </w:p>
        </w:tc>
      </w:tr>
      <w:tr>
        <w:trPr>
          <w:trHeight w:val="362" w:hRule="atLeast"/>
        </w:trPr>
        <w:tc>
          <w:tcPr>
            <w:tcW w:w="2002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Low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(dry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/ </w:t>
            </w:r>
            <w:r>
              <w:rPr>
                <w:spacing w:val="-2"/>
                <w:sz w:val="18"/>
              </w:rPr>
              <w:t>calm)</w:t>
            </w:r>
          </w:p>
        </w:tc>
        <w:tc>
          <w:tcPr>
            <w:tcW w:w="1201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26</w:t>
            </w:r>
          </w:p>
        </w:tc>
        <w:tc>
          <w:tcPr>
            <w:tcW w:w="1560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10%</w:t>
            </w:r>
          </w:p>
        </w:tc>
        <w:tc>
          <w:tcPr>
            <w:tcW w:w="1599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₹30,000</w:t>
            </w:r>
          </w:p>
        </w:tc>
        <w:tc>
          <w:tcPr>
            <w:tcW w:w="1602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A"/>
          </w:tcPr>
          <w:p>
            <w:pPr>
              <w:pStyle w:val="TableParagraph"/>
              <w:ind w:left="118"/>
              <w:rPr>
                <w:sz w:val="18"/>
              </w:rPr>
            </w:pPr>
            <w:r>
              <w:rPr>
                <w:spacing w:val="-2"/>
                <w:sz w:val="18"/>
              </w:rPr>
              <w:t>₹12,000</w:t>
            </w:r>
          </w:p>
        </w:tc>
        <w:tc>
          <w:tcPr>
            <w:tcW w:w="1400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A"/>
          </w:tcPr>
          <w:p>
            <w:pPr>
              <w:pStyle w:val="TableParagraph"/>
              <w:ind w:left="118"/>
              <w:rPr>
                <w:sz w:val="18"/>
              </w:rPr>
            </w:pPr>
            <w:r>
              <w:rPr>
                <w:spacing w:val="-2"/>
                <w:sz w:val="18"/>
              </w:rPr>
              <w:t>+₹18,000</w:t>
            </w:r>
          </w:p>
        </w:tc>
      </w:tr>
      <w:tr>
        <w:trPr>
          <w:trHeight w:val="364" w:hRule="atLeast"/>
        </w:trPr>
        <w:tc>
          <w:tcPr>
            <w:tcW w:w="20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TableParagraph"/>
              <w:spacing w:before="79"/>
              <w:rPr>
                <w:sz w:val="18"/>
              </w:rPr>
            </w:pPr>
            <w:r>
              <w:rPr>
                <w:sz w:val="18"/>
              </w:rPr>
              <w:t>Moderate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(transition)</w:t>
            </w:r>
          </w:p>
        </w:tc>
        <w:tc>
          <w:tcPr>
            <w:tcW w:w="1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TableParagraph"/>
              <w:spacing w:before="79"/>
              <w:rPr>
                <w:sz w:val="18"/>
              </w:rPr>
            </w:pPr>
            <w:r>
              <w:rPr>
                <w:spacing w:val="-5"/>
                <w:sz w:val="18"/>
              </w:rPr>
              <w:t>18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TableParagraph"/>
              <w:spacing w:before="79"/>
              <w:rPr>
                <w:sz w:val="18"/>
              </w:rPr>
            </w:pPr>
            <w:r>
              <w:rPr>
                <w:spacing w:val="-5"/>
                <w:sz w:val="18"/>
              </w:rPr>
              <w:t>25%</w:t>
            </w:r>
          </w:p>
        </w:tc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TableParagraph"/>
              <w:spacing w:before="79"/>
              <w:rPr>
                <w:sz w:val="18"/>
              </w:rPr>
            </w:pPr>
            <w:r>
              <w:rPr>
                <w:spacing w:val="-2"/>
                <w:sz w:val="18"/>
              </w:rPr>
              <w:t>₹30,000</w:t>
            </w:r>
          </w:p>
        </w:tc>
        <w:tc>
          <w:tcPr>
            <w:tcW w:w="16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TableParagraph"/>
              <w:spacing w:before="79"/>
              <w:ind w:left="118"/>
              <w:rPr>
                <w:sz w:val="18"/>
              </w:rPr>
            </w:pPr>
            <w:r>
              <w:rPr>
                <w:spacing w:val="-2"/>
                <w:sz w:val="18"/>
              </w:rPr>
              <w:t>₹30,000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TableParagraph"/>
              <w:spacing w:before="79"/>
              <w:ind w:left="118"/>
              <w:rPr>
                <w:sz w:val="18"/>
              </w:rPr>
            </w:pPr>
            <w:r>
              <w:rPr>
                <w:spacing w:val="-5"/>
                <w:w w:val="90"/>
                <w:sz w:val="18"/>
              </w:rPr>
              <w:t>₹0</w:t>
            </w:r>
          </w:p>
        </w:tc>
      </w:tr>
      <w:tr>
        <w:trPr>
          <w:trHeight w:val="571" w:hRule="atLeast"/>
        </w:trPr>
        <w:tc>
          <w:tcPr>
            <w:tcW w:w="20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A"/>
          </w:tcPr>
          <w:p>
            <w:pPr>
              <w:pStyle w:val="TableParagraph"/>
              <w:ind w:right="84"/>
              <w:rPr>
                <w:sz w:val="18"/>
              </w:rPr>
            </w:pPr>
            <w:r>
              <w:rPr>
                <w:sz w:val="18"/>
              </w:rPr>
              <w:t>Peak</w:t>
            </w:r>
            <w:r>
              <w:rPr>
                <w:spacing w:val="-15"/>
                <w:sz w:val="18"/>
              </w:rPr>
              <w:t> </w:t>
            </w:r>
            <w:r>
              <w:rPr>
                <w:sz w:val="18"/>
              </w:rPr>
              <w:t>(monsoon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/ </w:t>
            </w:r>
            <w:r>
              <w:rPr>
                <w:spacing w:val="-4"/>
                <w:sz w:val="18"/>
              </w:rPr>
              <w:t>smog)</w:t>
            </w:r>
          </w:p>
        </w:tc>
        <w:tc>
          <w:tcPr>
            <w:tcW w:w="1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40%</w:t>
            </w:r>
          </w:p>
        </w:tc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₹30,000</w:t>
            </w:r>
          </w:p>
        </w:tc>
        <w:tc>
          <w:tcPr>
            <w:tcW w:w="16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A"/>
          </w:tcPr>
          <w:p>
            <w:pPr>
              <w:pStyle w:val="TableParagraph"/>
              <w:ind w:left="118"/>
              <w:rPr>
                <w:sz w:val="18"/>
              </w:rPr>
            </w:pPr>
            <w:r>
              <w:rPr>
                <w:spacing w:val="-2"/>
                <w:sz w:val="18"/>
              </w:rPr>
              <w:t>₹48,000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A"/>
          </w:tcPr>
          <w:p>
            <w:pPr>
              <w:pStyle w:val="TableParagraph"/>
              <w:ind w:left="118"/>
              <w:rPr>
                <w:sz w:val="18"/>
              </w:rPr>
            </w:pPr>
            <w:r>
              <w:rPr>
                <w:spacing w:val="-2"/>
                <w:sz w:val="18"/>
              </w:rPr>
              <w:t>−₹18,000</w:t>
            </w:r>
          </w:p>
        </w:tc>
      </w:tr>
      <w:tr>
        <w:trPr>
          <w:trHeight w:val="364" w:hRule="atLeast"/>
        </w:trPr>
        <w:tc>
          <w:tcPr>
            <w:tcW w:w="20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EFFA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Annual </w:t>
            </w:r>
            <w:r>
              <w:rPr>
                <w:rFonts w:ascii="Arial"/>
                <w:b/>
                <w:spacing w:val="-2"/>
                <w:sz w:val="18"/>
              </w:rPr>
              <w:t>total</w:t>
            </w:r>
          </w:p>
        </w:tc>
        <w:tc>
          <w:tcPr>
            <w:tcW w:w="1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EFFA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52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EFFA"/>
          </w:tcPr>
          <w:p>
            <w:pPr>
              <w:pStyle w:val="TableParagraph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10"/>
                <w:sz w:val="18"/>
              </w:rPr>
              <w:t>—</w:t>
            </w:r>
          </w:p>
        </w:tc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EFFA"/>
          </w:tcPr>
          <w:p>
            <w:pPr>
              <w:pStyle w:val="TableParagraph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₹1,560,000</w:t>
            </w:r>
          </w:p>
        </w:tc>
        <w:tc>
          <w:tcPr>
            <w:tcW w:w="16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EFFA"/>
          </w:tcPr>
          <w:p>
            <w:pPr>
              <w:pStyle w:val="TableParagraph"/>
              <w:ind w:left="11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₹1,008,000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EFFA"/>
          </w:tcPr>
          <w:p>
            <w:pPr>
              <w:pStyle w:val="TableParagraph"/>
              <w:ind w:left="11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+₹552,000</w:t>
            </w:r>
          </w:p>
        </w:tc>
      </w:tr>
      <w:tr>
        <w:trPr>
          <w:trHeight w:val="362" w:hRule="atLeast"/>
        </w:trPr>
        <w:tc>
          <w:tcPr>
            <w:tcW w:w="20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DEDFF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Annual</w:t>
            </w:r>
            <w:r>
              <w:rPr>
                <w:rFonts w:ascii="Arial"/>
                <w:b/>
                <w:spacing w:val="-1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loss</w:t>
            </w:r>
            <w:r>
              <w:rPr>
                <w:rFonts w:ascii="Arial"/>
                <w:b/>
                <w:spacing w:val="-1"/>
                <w:sz w:val="18"/>
              </w:rPr>
              <w:t> </w:t>
            </w:r>
            <w:r>
              <w:rPr>
                <w:rFonts w:ascii="Arial"/>
                <w:b/>
                <w:spacing w:val="-2"/>
                <w:sz w:val="18"/>
              </w:rPr>
              <w:t>ratio</w:t>
            </w:r>
          </w:p>
        </w:tc>
        <w:tc>
          <w:tcPr>
            <w:tcW w:w="1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DEDFF"/>
          </w:tcPr>
          <w:p>
            <w:pPr>
              <w:pStyle w:val="TableParagraph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10"/>
                <w:sz w:val="18"/>
              </w:rPr>
              <w:t>—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DEDFF"/>
          </w:tcPr>
          <w:p>
            <w:pPr>
              <w:pStyle w:val="TableParagraph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10"/>
                <w:sz w:val="18"/>
              </w:rPr>
              <w:t>—</w:t>
            </w:r>
          </w:p>
        </w:tc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DEDFF"/>
          </w:tcPr>
          <w:p>
            <w:pPr>
              <w:pStyle w:val="TableParagraph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10"/>
                <w:sz w:val="18"/>
              </w:rPr>
              <w:t>—</w:t>
            </w:r>
          </w:p>
        </w:tc>
        <w:tc>
          <w:tcPr>
            <w:tcW w:w="16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DEDFF"/>
          </w:tcPr>
          <w:p>
            <w:pPr>
              <w:pStyle w:val="TableParagraph"/>
              <w:ind w:left="11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10"/>
                <w:sz w:val="18"/>
              </w:rPr>
              <w:t>—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DEDFF"/>
          </w:tcPr>
          <w:p>
            <w:pPr>
              <w:pStyle w:val="TableParagraph"/>
              <w:ind w:left="11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64.6%</w:t>
            </w:r>
          </w:p>
        </w:tc>
      </w:tr>
    </w:tbl>
    <w:p>
      <w:pPr>
        <w:pStyle w:val="BodyText"/>
        <w:spacing w:before="1"/>
      </w:pPr>
    </w:p>
    <w:p>
      <w:pPr>
        <w:spacing w:before="0"/>
        <w:ind w:left="720" w:right="363" w:firstLine="0"/>
        <w:jc w:val="left"/>
        <w:rPr>
          <w:rFonts w:ascii="Arial" w:hAnsi="Arial"/>
          <w:i/>
          <w:sz w:val="20"/>
        </w:rPr>
      </w:pPr>
      <w:r>
        <w:rPr>
          <w:rFonts w:ascii="Arial" w:hAnsi="Arial"/>
          <w:i/>
          <w:color w:val="545454"/>
          <w:sz w:val="20"/>
        </w:rPr>
        <w:t>Assumptions: 500 active policies in Mumbai. Average premium ₹60/week (higher than city-wide average due to flood-zone concentration). Average payout ₹240 per claim (Sameer’s persona). Annual</w:t>
      </w:r>
      <w:r>
        <w:rPr>
          <w:rFonts w:ascii="Arial" w:hAnsi="Arial"/>
          <w:i/>
          <w:color w:val="545454"/>
          <w:spacing w:val="-5"/>
          <w:sz w:val="20"/>
        </w:rPr>
        <w:t> </w:t>
      </w:r>
      <w:r>
        <w:rPr>
          <w:rFonts w:ascii="Arial" w:hAnsi="Arial"/>
          <w:i/>
          <w:color w:val="545454"/>
          <w:sz w:val="20"/>
        </w:rPr>
        <w:t>fixed</w:t>
      </w:r>
      <w:r>
        <w:rPr>
          <w:rFonts w:ascii="Arial" w:hAnsi="Arial"/>
          <w:i/>
          <w:color w:val="545454"/>
          <w:spacing w:val="-4"/>
          <w:sz w:val="20"/>
        </w:rPr>
        <w:t> </w:t>
      </w:r>
      <w:r>
        <w:rPr>
          <w:rFonts w:ascii="Arial" w:hAnsi="Arial"/>
          <w:i/>
          <w:color w:val="545454"/>
          <w:sz w:val="20"/>
        </w:rPr>
        <w:t>+</w:t>
      </w:r>
      <w:r>
        <w:rPr>
          <w:rFonts w:ascii="Arial" w:hAnsi="Arial"/>
          <w:i/>
          <w:color w:val="545454"/>
          <w:spacing w:val="-3"/>
          <w:sz w:val="20"/>
        </w:rPr>
        <w:t> </w:t>
      </w:r>
      <w:r>
        <w:rPr>
          <w:rFonts w:ascii="Arial" w:hAnsi="Arial"/>
          <w:i/>
          <w:color w:val="545454"/>
          <w:sz w:val="20"/>
        </w:rPr>
        <w:t>variable</w:t>
      </w:r>
      <w:r>
        <w:rPr>
          <w:rFonts w:ascii="Arial" w:hAnsi="Arial"/>
          <w:i/>
          <w:color w:val="545454"/>
          <w:spacing w:val="-4"/>
          <w:sz w:val="20"/>
        </w:rPr>
        <w:t> </w:t>
      </w:r>
      <w:r>
        <w:rPr>
          <w:rFonts w:ascii="Arial" w:hAnsi="Arial"/>
          <w:i/>
          <w:color w:val="545454"/>
          <w:sz w:val="20"/>
        </w:rPr>
        <w:t>costs</w:t>
      </w:r>
      <w:r>
        <w:rPr>
          <w:rFonts w:ascii="Arial" w:hAnsi="Arial"/>
          <w:i/>
          <w:color w:val="545454"/>
          <w:spacing w:val="-3"/>
          <w:sz w:val="20"/>
        </w:rPr>
        <w:t> </w:t>
      </w:r>
      <w:r>
        <w:rPr>
          <w:rFonts w:ascii="Arial" w:hAnsi="Arial"/>
          <w:i/>
          <w:color w:val="545454"/>
          <w:sz w:val="20"/>
        </w:rPr>
        <w:t>of</w:t>
      </w:r>
      <w:r>
        <w:rPr>
          <w:rFonts w:ascii="Arial" w:hAnsi="Arial"/>
          <w:i/>
          <w:color w:val="545454"/>
          <w:spacing w:val="-4"/>
          <w:sz w:val="20"/>
        </w:rPr>
        <w:t> </w:t>
      </w:r>
      <w:r>
        <w:rPr>
          <w:rFonts w:ascii="Arial" w:hAnsi="Arial"/>
          <w:i/>
          <w:color w:val="545454"/>
          <w:sz w:val="20"/>
        </w:rPr>
        <w:t>₹600,000</w:t>
      </w:r>
      <w:r>
        <w:rPr>
          <w:rFonts w:ascii="Arial" w:hAnsi="Arial"/>
          <w:i/>
          <w:color w:val="545454"/>
          <w:spacing w:val="-3"/>
          <w:sz w:val="20"/>
        </w:rPr>
        <w:t> </w:t>
      </w:r>
      <w:r>
        <w:rPr>
          <w:rFonts w:ascii="Arial" w:hAnsi="Arial"/>
          <w:i/>
          <w:color w:val="545454"/>
          <w:sz w:val="20"/>
        </w:rPr>
        <w:t>are</w:t>
      </w:r>
      <w:r>
        <w:rPr>
          <w:rFonts w:ascii="Arial" w:hAnsi="Arial"/>
          <w:i/>
          <w:color w:val="545454"/>
          <w:spacing w:val="-4"/>
          <w:sz w:val="20"/>
        </w:rPr>
        <w:t> </w:t>
      </w:r>
      <w:r>
        <w:rPr>
          <w:rFonts w:ascii="Arial" w:hAnsi="Arial"/>
          <w:i/>
          <w:color w:val="545454"/>
          <w:sz w:val="20"/>
        </w:rPr>
        <w:t>excluded</w:t>
      </w:r>
      <w:r>
        <w:rPr>
          <w:rFonts w:ascii="Arial" w:hAnsi="Arial"/>
          <w:i/>
          <w:color w:val="545454"/>
          <w:spacing w:val="-2"/>
          <w:sz w:val="20"/>
        </w:rPr>
        <w:t> </w:t>
      </w:r>
      <w:r>
        <w:rPr>
          <w:rFonts w:ascii="Arial" w:hAnsi="Arial"/>
          <w:i/>
          <w:color w:val="545454"/>
          <w:sz w:val="20"/>
        </w:rPr>
        <w:t>from</w:t>
      </w:r>
      <w:r>
        <w:rPr>
          <w:rFonts w:ascii="Arial" w:hAnsi="Arial"/>
          <w:i/>
          <w:color w:val="545454"/>
          <w:spacing w:val="-4"/>
          <w:sz w:val="20"/>
        </w:rPr>
        <w:t> </w:t>
      </w:r>
      <w:r>
        <w:rPr>
          <w:rFonts w:ascii="Arial" w:hAnsi="Arial"/>
          <w:i/>
          <w:color w:val="545454"/>
          <w:sz w:val="20"/>
        </w:rPr>
        <w:t>the</w:t>
      </w:r>
      <w:r>
        <w:rPr>
          <w:rFonts w:ascii="Arial" w:hAnsi="Arial"/>
          <w:i/>
          <w:color w:val="545454"/>
          <w:spacing w:val="-2"/>
          <w:sz w:val="20"/>
        </w:rPr>
        <w:t> </w:t>
      </w:r>
      <w:r>
        <w:rPr>
          <w:rFonts w:ascii="Arial" w:hAnsi="Arial"/>
          <w:i/>
          <w:color w:val="545454"/>
          <w:sz w:val="20"/>
        </w:rPr>
        <w:t>loss</w:t>
      </w:r>
      <w:r>
        <w:rPr>
          <w:rFonts w:ascii="Arial" w:hAnsi="Arial"/>
          <w:i/>
          <w:color w:val="545454"/>
          <w:spacing w:val="-3"/>
          <w:sz w:val="20"/>
        </w:rPr>
        <w:t> </w:t>
      </w:r>
      <w:r>
        <w:rPr>
          <w:rFonts w:ascii="Arial" w:hAnsi="Arial"/>
          <w:i/>
          <w:color w:val="545454"/>
          <w:sz w:val="20"/>
        </w:rPr>
        <w:t>ratio</w:t>
      </w:r>
      <w:r>
        <w:rPr>
          <w:rFonts w:ascii="Arial" w:hAnsi="Arial"/>
          <w:i/>
          <w:color w:val="545454"/>
          <w:spacing w:val="-2"/>
          <w:sz w:val="20"/>
        </w:rPr>
        <w:t> </w:t>
      </w:r>
      <w:r>
        <w:rPr>
          <w:rFonts w:ascii="Arial" w:hAnsi="Arial"/>
          <w:i/>
          <w:color w:val="545454"/>
          <w:sz w:val="20"/>
        </w:rPr>
        <w:t>but</w:t>
      </w:r>
      <w:r>
        <w:rPr>
          <w:rFonts w:ascii="Arial" w:hAnsi="Arial"/>
          <w:i/>
          <w:color w:val="545454"/>
          <w:spacing w:val="-2"/>
          <w:sz w:val="20"/>
        </w:rPr>
        <w:t> </w:t>
      </w:r>
      <w:r>
        <w:rPr>
          <w:rFonts w:ascii="Arial" w:hAnsi="Arial"/>
          <w:i/>
          <w:color w:val="545454"/>
          <w:sz w:val="20"/>
        </w:rPr>
        <w:t>consume</w:t>
      </w:r>
      <w:r>
        <w:rPr>
          <w:rFonts w:ascii="Arial" w:hAnsi="Arial"/>
          <w:i/>
          <w:color w:val="545454"/>
          <w:spacing w:val="-4"/>
          <w:sz w:val="20"/>
        </w:rPr>
        <w:t> </w:t>
      </w:r>
      <w:r>
        <w:rPr>
          <w:rFonts w:ascii="Arial" w:hAnsi="Arial"/>
          <w:i/>
          <w:color w:val="545454"/>
          <w:sz w:val="20"/>
        </w:rPr>
        <w:t>the</w:t>
      </w:r>
      <w:r>
        <w:rPr>
          <w:rFonts w:ascii="Arial" w:hAnsi="Arial"/>
          <w:i/>
          <w:color w:val="545454"/>
          <w:spacing w:val="-4"/>
          <w:sz w:val="20"/>
        </w:rPr>
        <w:t> </w:t>
      </w:r>
      <w:r>
        <w:rPr>
          <w:rFonts w:ascii="Arial" w:hAnsi="Arial"/>
          <w:i/>
          <w:color w:val="545454"/>
          <w:sz w:val="20"/>
        </w:rPr>
        <w:t>₹552,000 net surplus, leaving a narrow operating margin that grows with scale.</w:t>
      </w:r>
    </w:p>
    <w:p>
      <w:pPr>
        <w:pStyle w:val="BodyText"/>
        <w:spacing w:before="103"/>
        <w:rPr>
          <w:rFonts w:ascii="Arial"/>
          <w:i/>
          <w:sz w:val="20"/>
        </w:rPr>
      </w:pPr>
    </w:p>
    <w:p>
      <w:pPr>
        <w:pStyle w:val="BodyText"/>
        <w:spacing w:before="1"/>
        <w:ind w:left="360" w:right="311"/>
      </w:pPr>
      <w:r>
        <w:rPr/>
        <w:t>The key insight is that the platform should build a minimum 4-week premium reserve buffer before the start of each</w:t>
      </w:r>
      <w:r>
        <w:rPr>
          <w:spacing w:val="-3"/>
        </w:rPr>
        <w:t> </w:t>
      </w:r>
      <w:r>
        <w:rPr/>
        <w:t>monsoon season. With 500 policies at ₹60/week, this reserve is approximately</w:t>
      </w:r>
      <w:r>
        <w:rPr>
          <w:spacing w:val="-11"/>
        </w:rPr>
        <w:t> </w:t>
      </w:r>
      <w:r>
        <w:rPr/>
        <w:t>₹120,000</w:t>
      </w:r>
      <w:r>
        <w:rPr>
          <w:spacing w:val="-14"/>
        </w:rPr>
        <w:t> </w:t>
      </w:r>
      <w:r>
        <w:rPr/>
        <w:t>—</w:t>
      </w:r>
      <w:r>
        <w:rPr>
          <w:spacing w:val="-11"/>
        </w:rPr>
        <w:t> </w:t>
      </w:r>
      <w:r>
        <w:rPr/>
        <w:t>sufficient</w:t>
      </w:r>
      <w:r>
        <w:rPr>
          <w:spacing w:val="-13"/>
        </w:rPr>
        <w:t> </w:t>
      </w:r>
      <w:r>
        <w:rPr/>
        <w:t>to</w:t>
      </w:r>
      <w:r>
        <w:rPr>
          <w:spacing w:val="-13"/>
        </w:rPr>
        <w:t> </w:t>
      </w:r>
      <w:r>
        <w:rPr/>
        <w:t>absorb</w:t>
      </w:r>
      <w:r>
        <w:rPr>
          <w:spacing w:val="-13"/>
        </w:rPr>
        <w:t> </w:t>
      </w:r>
      <w:r>
        <w:rPr/>
        <w:t>two</w:t>
      </w:r>
      <w:r>
        <w:rPr>
          <w:spacing w:val="-12"/>
        </w:rPr>
        <w:t> </w:t>
      </w:r>
      <w:r>
        <w:rPr/>
        <w:t>consecutive</w:t>
      </w:r>
      <w:r>
        <w:rPr>
          <w:spacing w:val="-12"/>
        </w:rPr>
        <w:t> </w:t>
      </w:r>
      <w:r>
        <w:rPr/>
        <w:t>peak</w:t>
      </w:r>
      <w:r>
        <w:rPr>
          <w:spacing w:val="-13"/>
        </w:rPr>
        <w:t> </w:t>
      </w:r>
      <w:r>
        <w:rPr/>
        <w:t>weeks</w:t>
      </w:r>
      <w:r>
        <w:rPr>
          <w:spacing w:val="-11"/>
        </w:rPr>
        <w:t> </w:t>
      </w:r>
      <w:r>
        <w:rPr/>
        <w:t>without</w:t>
      </w:r>
      <w:r>
        <w:rPr>
          <w:spacing w:val="-13"/>
        </w:rPr>
        <w:t> </w:t>
      </w:r>
      <w:r>
        <w:rPr/>
        <w:t>drawing down operating capital.</w:t>
      </w:r>
    </w:p>
    <w:p>
      <w:pPr>
        <w:pStyle w:val="BodyText"/>
      </w:pPr>
    </w:p>
    <w:p>
      <w:pPr>
        <w:pStyle w:val="BodyText"/>
        <w:spacing w:before="185"/>
      </w:pPr>
    </w:p>
    <w:p>
      <w:pPr>
        <w:pStyle w:val="Heading2"/>
        <w:numPr>
          <w:ilvl w:val="1"/>
          <w:numId w:val="2"/>
        </w:numPr>
        <w:tabs>
          <w:tab w:pos="904" w:val="left" w:leader="none"/>
        </w:tabs>
        <w:spacing w:line="240" w:lineRule="auto" w:before="0" w:after="0"/>
        <w:ind w:left="904" w:right="0" w:hanging="544"/>
        <w:jc w:val="left"/>
      </w:pPr>
      <w:r>
        <w:rPr>
          <w:color w:val="2D75B6"/>
        </w:rPr>
        <w:t>Scenario:</w:t>
      </w:r>
      <w:r>
        <w:rPr>
          <w:color w:val="2D75B6"/>
          <w:spacing w:val="-12"/>
        </w:rPr>
        <w:t> </w:t>
      </w:r>
      <w:r>
        <w:rPr>
          <w:color w:val="2D75B6"/>
        </w:rPr>
        <w:t>Mumbai</w:t>
      </w:r>
      <w:r>
        <w:rPr>
          <w:color w:val="2D75B6"/>
          <w:spacing w:val="-7"/>
        </w:rPr>
        <w:t> </w:t>
      </w:r>
      <w:r>
        <w:rPr>
          <w:color w:val="2D75B6"/>
        </w:rPr>
        <w:t>Monsoon</w:t>
      </w:r>
      <w:r>
        <w:rPr>
          <w:color w:val="2D75B6"/>
          <w:spacing w:val="-5"/>
        </w:rPr>
        <w:t> </w:t>
      </w:r>
      <w:r>
        <w:rPr>
          <w:color w:val="2D75B6"/>
          <w:spacing w:val="-4"/>
        </w:rPr>
        <w:t>Week</w:t>
      </w:r>
    </w:p>
    <w:p>
      <w:pPr>
        <w:pStyle w:val="BodyText"/>
        <w:spacing w:before="5"/>
        <w:rPr>
          <w:rFonts w:ascii="Arial"/>
          <w:b/>
          <w:sz w:val="8"/>
        </w:rPr>
      </w:pPr>
      <w:r>
        <w:rPr>
          <w:rFonts w:ascii="Arial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896416</wp:posOffset>
                </wp:positionH>
                <wp:positionV relativeFrom="paragraph">
                  <wp:posOffset>76883</wp:posOffset>
                </wp:positionV>
                <wp:extent cx="5981065" cy="1196340"/>
                <wp:effectExtent l="0" t="0" r="0" b="0"/>
                <wp:wrapTopAndBottom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5981065" cy="119634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</wps:spPr>
                      <wps:txbx>
                        <w:txbxContent>
                          <w:p>
                            <w:pPr>
                              <w:spacing w:line="203" w:lineRule="exact" w:before="0"/>
                              <w:ind w:left="2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Assumptions: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500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active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policies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in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Mumbai.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40%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claim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rate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during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severe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rainfall.</w:t>
                            </w:r>
                          </w:p>
                          <w:p>
                            <w:pPr>
                              <w:pStyle w:val="BodyText"/>
                              <w:spacing w:before="5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tabs>
                                <w:tab w:pos="2188" w:val="left" w:leader="none"/>
                              </w:tabs>
                              <w:spacing w:before="0"/>
                              <w:ind w:left="28" w:right="0" w:firstLine="0"/>
                              <w:jc w:val="left"/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  <w:t>Number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  <w:sz w:val="18"/>
                              </w:rPr>
                              <w:t>claims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  <w:tab/>
                              <w:t>=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  <w:t>500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  <w:t>×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  <w:t>0.40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5"/>
                                <w:sz w:val="18"/>
                              </w:rPr>
                              <w:t>200</w:t>
                            </w:r>
                          </w:p>
                          <w:p>
                            <w:pPr>
                              <w:tabs>
                                <w:tab w:pos="2188" w:val="left" w:leader="none"/>
                              </w:tabs>
                              <w:spacing w:before="0"/>
                              <w:ind w:left="28" w:right="3448" w:firstLine="0"/>
                              <w:jc w:val="left"/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  <w:t>Average payout</w:t>
                              <w:tab/>
                              <w:t>=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  <w:t>₹240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8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  <w:t>(based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  <w:t>on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  <w:t>Sameer’s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  <w:t>persona) Total payouts</w:t>
                              <w:tab/>
                              <w:t>= 200 × ₹240 = ₹48,000</w:t>
                            </w:r>
                          </w:p>
                          <w:p>
                            <w:pPr>
                              <w:tabs>
                                <w:tab w:pos="2188" w:val="left" w:leader="none"/>
                              </w:tabs>
                              <w:spacing w:before="1"/>
                              <w:ind w:left="28" w:right="4960" w:firstLine="0"/>
                              <w:jc w:val="left"/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  <w:t>Total premiums</w:t>
                              <w:tab/>
                              <w:t>=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  <w:t>500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  <w:t>×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  <w:t>₹60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  <w:t>₹30,000 Razorpay fees (2%)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8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  <w:t>= ₹960</w:t>
                            </w:r>
                          </w:p>
                          <w:p>
                            <w:pPr>
                              <w:tabs>
                                <w:tab w:pos="2188" w:val="left" w:leader="none"/>
                              </w:tabs>
                              <w:spacing w:line="203" w:lineRule="exact" w:before="0"/>
                              <w:ind w:left="28" w:right="0" w:firstLine="0"/>
                              <w:jc w:val="left"/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  <w:t>Net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  <w:t>loss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  <w:t>for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4"/>
                                <w:sz w:val="18"/>
                              </w:rPr>
                              <w:t>week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  <w:tab/>
                              <w:t>=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  <w:t>₹48,000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  <w:t>−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  <w:t>₹30,000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  <w:t>+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  <w:t>₹960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  <w:sz w:val="18"/>
                              </w:rPr>
                              <w:t>₹18,960</w:t>
                            </w:r>
                          </w:p>
                          <w:p>
                            <w:pPr>
                              <w:tabs>
                                <w:tab w:pos="2188" w:val="left" w:leader="none"/>
                              </w:tabs>
                              <w:spacing w:line="203" w:lineRule="exact" w:before="0"/>
                              <w:ind w:left="2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Weekly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loss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ratio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ab/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>160%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84pt;margin-top:6.053784pt;width:470.95pt;height:94.2pt;mso-position-horizontal-relative:page;mso-position-vertical-relative:paragraph;z-index:-15725056;mso-wrap-distance-left:0;mso-wrap-distance-right:0" type="#_x0000_t202" id="docshape13" filled="true" fillcolor="#f4f4f4" stroked="false">
                <v:textbox inset="0,0,0,0">
                  <w:txbxContent>
                    <w:p>
                      <w:pPr>
                        <w:spacing w:line="203" w:lineRule="exact" w:before="0"/>
                        <w:ind w:left="28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Assumptions: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500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active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policies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in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Mumbai.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40%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claim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rate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during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severe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rainfall.</w:t>
                      </w:r>
                    </w:p>
                    <w:p>
                      <w:pPr>
                        <w:pStyle w:val="BodyText"/>
                        <w:spacing w:before="50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>
                      <w:pPr>
                        <w:tabs>
                          <w:tab w:pos="2188" w:val="left" w:leader="none"/>
                        </w:tabs>
                        <w:spacing w:before="0"/>
                        <w:ind w:left="28" w:right="0" w:firstLine="0"/>
                        <w:jc w:val="left"/>
                        <w:rPr>
                          <w:rFonts w:ascii="Courier New" w:hAns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z w:val="18"/>
                        </w:rPr>
                        <w:t>Number</w:t>
                      </w:r>
                      <w:r>
                        <w:rPr>
                          <w:rFonts w:ascii="Courier New" w:hAnsi="Courier New"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18"/>
                        </w:rPr>
                        <w:t>of</w:t>
                      </w:r>
                      <w:r>
                        <w:rPr>
                          <w:rFonts w:ascii="Courier New" w:hAnsi="Courier New"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pacing w:val="-2"/>
                          <w:sz w:val="18"/>
                        </w:rPr>
                        <w:t>claims</w:t>
                      </w:r>
                      <w:r>
                        <w:rPr>
                          <w:rFonts w:ascii="Courier New" w:hAnsi="Courier New"/>
                          <w:color w:val="000000"/>
                          <w:sz w:val="18"/>
                        </w:rPr>
                        <w:tab/>
                        <w:t>=</w:t>
                      </w:r>
                      <w:r>
                        <w:rPr>
                          <w:rFonts w:ascii="Courier New" w:hAnsi="Courier New"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18"/>
                        </w:rPr>
                        <w:t>500</w:t>
                      </w:r>
                      <w:r>
                        <w:rPr>
                          <w:rFonts w:ascii="Courier New" w:hAnsi="Courier New"/>
                          <w:color w:val="000000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18"/>
                        </w:rPr>
                        <w:t>×</w:t>
                      </w:r>
                      <w:r>
                        <w:rPr>
                          <w:rFonts w:ascii="Courier New" w:hAnsi="Courier New"/>
                          <w:color w:val="000000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18"/>
                        </w:rPr>
                        <w:t>0.40</w:t>
                      </w:r>
                      <w:r>
                        <w:rPr>
                          <w:rFonts w:ascii="Courier New" w:hAnsi="Courier New"/>
                          <w:color w:val="000000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urier New" w:hAnsi="Courier New"/>
                          <w:color w:val="000000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pacing w:val="-5"/>
                          <w:sz w:val="18"/>
                        </w:rPr>
                        <w:t>200</w:t>
                      </w:r>
                    </w:p>
                    <w:p>
                      <w:pPr>
                        <w:tabs>
                          <w:tab w:pos="2188" w:val="left" w:leader="none"/>
                        </w:tabs>
                        <w:spacing w:before="0"/>
                        <w:ind w:left="28" w:right="3448" w:firstLine="0"/>
                        <w:jc w:val="left"/>
                        <w:rPr>
                          <w:rFonts w:ascii="Courier New" w:hAns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z w:val="18"/>
                        </w:rPr>
                        <w:t>Average payout</w:t>
                        <w:tab/>
                        <w:t>=</w:t>
                      </w:r>
                      <w:r>
                        <w:rPr>
                          <w:rFonts w:ascii="Courier New" w:hAnsi="Courier New"/>
                          <w:color w:val="000000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18"/>
                        </w:rPr>
                        <w:t>₹240</w:t>
                      </w:r>
                      <w:r>
                        <w:rPr>
                          <w:rFonts w:ascii="Courier New" w:hAnsi="Courier New"/>
                          <w:color w:val="000000"/>
                          <w:spacing w:val="80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18"/>
                        </w:rPr>
                        <w:t>(based</w:t>
                      </w:r>
                      <w:r>
                        <w:rPr>
                          <w:rFonts w:ascii="Courier New" w:hAnsi="Courier New"/>
                          <w:color w:val="000000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18"/>
                        </w:rPr>
                        <w:t>on</w:t>
                      </w:r>
                      <w:r>
                        <w:rPr>
                          <w:rFonts w:ascii="Courier New" w:hAnsi="Courier New"/>
                          <w:color w:val="000000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18"/>
                        </w:rPr>
                        <w:t>Sameer’s</w:t>
                      </w:r>
                      <w:r>
                        <w:rPr>
                          <w:rFonts w:ascii="Courier New" w:hAnsi="Courier New"/>
                          <w:color w:val="000000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18"/>
                        </w:rPr>
                        <w:t>persona) Total payouts</w:t>
                        <w:tab/>
                        <w:t>= 200 × ₹240 = ₹48,000</w:t>
                      </w:r>
                    </w:p>
                    <w:p>
                      <w:pPr>
                        <w:tabs>
                          <w:tab w:pos="2188" w:val="left" w:leader="none"/>
                        </w:tabs>
                        <w:spacing w:before="1"/>
                        <w:ind w:left="28" w:right="4960" w:firstLine="0"/>
                        <w:jc w:val="left"/>
                        <w:rPr>
                          <w:rFonts w:ascii="Courier New" w:hAns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z w:val="18"/>
                        </w:rPr>
                        <w:t>Total premiums</w:t>
                        <w:tab/>
                        <w:t>=</w:t>
                      </w:r>
                      <w:r>
                        <w:rPr>
                          <w:rFonts w:ascii="Courier New" w:hAnsi="Courier New"/>
                          <w:color w:val="000000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18"/>
                        </w:rPr>
                        <w:t>500</w:t>
                      </w:r>
                      <w:r>
                        <w:rPr>
                          <w:rFonts w:ascii="Courier New" w:hAnsi="Courier New"/>
                          <w:color w:val="000000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18"/>
                        </w:rPr>
                        <w:t>×</w:t>
                      </w:r>
                      <w:r>
                        <w:rPr>
                          <w:rFonts w:ascii="Courier New" w:hAnsi="Courier New"/>
                          <w:color w:val="000000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18"/>
                        </w:rPr>
                        <w:t>₹60</w:t>
                      </w:r>
                      <w:r>
                        <w:rPr>
                          <w:rFonts w:ascii="Courier New" w:hAnsi="Courier New"/>
                          <w:color w:val="000000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urier New" w:hAnsi="Courier New"/>
                          <w:color w:val="000000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18"/>
                        </w:rPr>
                        <w:t>₹30,000 Razorpay fees (2%)</w:t>
                      </w:r>
                      <w:r>
                        <w:rPr>
                          <w:rFonts w:ascii="Courier New" w:hAnsi="Courier New"/>
                          <w:color w:val="000000"/>
                          <w:spacing w:val="80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18"/>
                        </w:rPr>
                        <w:t>= ₹960</w:t>
                      </w:r>
                    </w:p>
                    <w:p>
                      <w:pPr>
                        <w:tabs>
                          <w:tab w:pos="2188" w:val="left" w:leader="none"/>
                        </w:tabs>
                        <w:spacing w:line="203" w:lineRule="exact" w:before="0"/>
                        <w:ind w:left="28" w:right="0" w:firstLine="0"/>
                        <w:jc w:val="left"/>
                        <w:rPr>
                          <w:rFonts w:ascii="Courier New" w:hAns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z w:val="18"/>
                        </w:rPr>
                        <w:t>Net</w:t>
                      </w:r>
                      <w:r>
                        <w:rPr>
                          <w:rFonts w:ascii="Courier New" w:hAnsi="Courier New"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18"/>
                        </w:rPr>
                        <w:t>loss</w:t>
                      </w:r>
                      <w:r>
                        <w:rPr>
                          <w:rFonts w:ascii="Courier New" w:hAnsi="Courier New"/>
                          <w:color w:val="000000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18"/>
                        </w:rPr>
                        <w:t>for</w:t>
                      </w:r>
                      <w:r>
                        <w:rPr>
                          <w:rFonts w:ascii="Courier New" w:hAnsi="Courier New"/>
                          <w:color w:val="000000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pacing w:val="-4"/>
                          <w:sz w:val="18"/>
                        </w:rPr>
                        <w:t>week</w:t>
                      </w:r>
                      <w:r>
                        <w:rPr>
                          <w:rFonts w:ascii="Courier New" w:hAnsi="Courier New"/>
                          <w:color w:val="000000"/>
                          <w:sz w:val="18"/>
                        </w:rPr>
                        <w:tab/>
                        <w:t>=</w:t>
                      </w:r>
                      <w:r>
                        <w:rPr>
                          <w:rFonts w:ascii="Courier New" w:hAnsi="Courier New"/>
                          <w:color w:val="000000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18"/>
                        </w:rPr>
                        <w:t>₹48,000</w:t>
                      </w:r>
                      <w:r>
                        <w:rPr>
                          <w:rFonts w:ascii="Courier New" w:hAnsi="Courier New"/>
                          <w:color w:val="000000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18"/>
                        </w:rPr>
                        <w:t>−</w:t>
                      </w:r>
                      <w:r>
                        <w:rPr>
                          <w:rFonts w:ascii="Courier New" w:hAnsi="Courier New"/>
                          <w:color w:val="000000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18"/>
                        </w:rPr>
                        <w:t>₹30,000</w:t>
                      </w:r>
                      <w:r>
                        <w:rPr>
                          <w:rFonts w:ascii="Courier New" w:hAnsi="Courier New"/>
                          <w:color w:val="000000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18"/>
                        </w:rPr>
                        <w:t>+</w:t>
                      </w:r>
                      <w:r>
                        <w:rPr>
                          <w:rFonts w:ascii="Courier New" w:hAnsi="Courier New"/>
                          <w:color w:val="000000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18"/>
                        </w:rPr>
                        <w:t>₹960</w:t>
                      </w:r>
                      <w:r>
                        <w:rPr>
                          <w:rFonts w:ascii="Courier New" w:hAnsi="Courier New"/>
                          <w:color w:val="000000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urier New" w:hAnsi="Courier New"/>
                          <w:color w:val="000000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pacing w:val="-2"/>
                          <w:sz w:val="18"/>
                        </w:rPr>
                        <w:t>₹18,960</w:t>
                      </w:r>
                    </w:p>
                    <w:p>
                      <w:pPr>
                        <w:tabs>
                          <w:tab w:pos="2188" w:val="left" w:leader="none"/>
                        </w:tabs>
                        <w:spacing w:line="203" w:lineRule="exact" w:before="0"/>
                        <w:ind w:left="28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Weekly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loss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ratio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ab/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>160%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"/>
        <w:rPr>
          <w:rFonts w:ascii="Arial"/>
          <w:b/>
        </w:rPr>
      </w:pPr>
    </w:p>
    <w:p>
      <w:pPr>
        <w:pStyle w:val="BodyText"/>
        <w:ind w:left="360" w:right="311"/>
      </w:pPr>
      <w:r>
        <w:rPr/>
        <w:t>This loss is expected and acceptable. It is funded by the reserve accumulated during the </w:t>
      </w:r>
      <w:r>
        <w:rPr>
          <w:spacing w:val="-2"/>
        </w:rPr>
        <w:t>preceding</w:t>
      </w:r>
      <w:r>
        <w:rPr>
          <w:spacing w:val="-7"/>
        </w:rPr>
        <w:t> </w:t>
      </w:r>
      <w:r>
        <w:rPr>
          <w:spacing w:val="-2"/>
        </w:rPr>
        <w:t>low-claim</w:t>
      </w:r>
      <w:r>
        <w:rPr>
          <w:spacing w:val="-6"/>
        </w:rPr>
        <w:t> </w:t>
      </w:r>
      <w:r>
        <w:rPr>
          <w:spacing w:val="-2"/>
        </w:rPr>
        <w:t>weeks.</w:t>
      </w:r>
      <w:r>
        <w:rPr>
          <w:spacing w:val="-5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single</w:t>
      </w:r>
      <w:r>
        <w:rPr>
          <w:spacing w:val="-7"/>
        </w:rPr>
        <w:t> </w:t>
      </w:r>
      <w:r>
        <w:rPr>
          <w:spacing w:val="-2"/>
        </w:rPr>
        <w:t>peak</w:t>
      </w:r>
      <w:r>
        <w:rPr>
          <w:spacing w:val="-8"/>
        </w:rPr>
        <w:t> </w:t>
      </w:r>
      <w:r>
        <w:rPr>
          <w:spacing w:val="-2"/>
        </w:rPr>
        <w:t>week</w:t>
      </w:r>
      <w:r>
        <w:rPr>
          <w:spacing w:val="-6"/>
        </w:rPr>
        <w:t> </w:t>
      </w:r>
      <w:r>
        <w:rPr>
          <w:spacing w:val="-2"/>
        </w:rPr>
        <w:t>consuming</w:t>
      </w:r>
      <w:r>
        <w:rPr>
          <w:spacing w:val="-7"/>
        </w:rPr>
        <w:t> </w:t>
      </w:r>
      <w:r>
        <w:rPr>
          <w:spacing w:val="-2"/>
        </w:rPr>
        <w:t>₹18,960</w:t>
      </w:r>
      <w:r>
        <w:rPr>
          <w:spacing w:val="-8"/>
        </w:rPr>
        <w:t> </w:t>
      </w:r>
      <w:r>
        <w:rPr>
          <w:spacing w:val="-2"/>
        </w:rPr>
        <w:t>from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7"/>
        </w:rPr>
        <w:t> </w:t>
      </w:r>
      <w:r>
        <w:rPr>
          <w:spacing w:val="-2"/>
        </w:rPr>
        <w:t>₹120,000</w:t>
      </w:r>
      <w:r>
        <w:rPr>
          <w:spacing w:val="-8"/>
        </w:rPr>
        <w:t> </w:t>
      </w:r>
      <w:r>
        <w:rPr>
          <w:spacing w:val="-2"/>
        </w:rPr>
        <w:t>reserve </w:t>
      </w:r>
      <w:r>
        <w:rPr/>
        <w:t>leaves ample buffer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the remaining monsoon</w:t>
      </w:r>
      <w:r>
        <w:rPr>
          <w:spacing w:val="-2"/>
        </w:rPr>
        <w:t> </w:t>
      </w:r>
      <w:r>
        <w:rPr/>
        <w:t>season.</w:t>
      </w:r>
      <w:r>
        <w:rPr>
          <w:spacing w:val="-1"/>
        </w:rPr>
        <w:t> </w:t>
      </w:r>
      <w:r>
        <w:rPr/>
        <w:t>Over 52</w:t>
      </w:r>
      <w:r>
        <w:rPr>
          <w:spacing w:val="-2"/>
        </w:rPr>
        <w:t> </w:t>
      </w:r>
      <w:r>
        <w:rPr/>
        <w:t>weeks,</w:t>
      </w:r>
      <w:r>
        <w:rPr>
          <w:spacing w:val="-1"/>
        </w:rPr>
        <w:t> </w:t>
      </w:r>
      <w:r>
        <w:rPr/>
        <w:t>the annual loss</w:t>
      </w:r>
      <w:r>
        <w:rPr>
          <w:spacing w:val="-2"/>
        </w:rPr>
        <w:t> </w:t>
      </w:r>
      <w:r>
        <w:rPr/>
        <w:t>ratio returns to approximately 65%, as modelled in Section 6.3.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"/>
      </w:pPr>
    </w:p>
    <w:p>
      <w:pPr>
        <w:pStyle w:val="Heading1"/>
        <w:numPr>
          <w:ilvl w:val="0"/>
          <w:numId w:val="2"/>
        </w:numPr>
        <w:tabs>
          <w:tab w:pos="760" w:val="left" w:leader="none"/>
        </w:tabs>
        <w:spacing w:line="240" w:lineRule="auto" w:before="0" w:after="0"/>
        <w:ind w:left="760" w:right="0" w:hanging="400"/>
        <w:jc w:val="left"/>
      </w:pPr>
      <w:r>
        <w:rPr>
          <w:color w:val="1F487C"/>
        </w:rPr>
        <w:t>ML</w:t>
      </w:r>
      <w:r>
        <w:rPr>
          <w:color w:val="1F487C"/>
          <w:spacing w:val="1"/>
        </w:rPr>
        <w:t> </w:t>
      </w:r>
      <w:r>
        <w:rPr>
          <w:color w:val="1F487C"/>
        </w:rPr>
        <w:t>Model </w:t>
      </w:r>
      <w:r>
        <w:rPr>
          <w:color w:val="1F487C"/>
          <w:spacing w:val="-2"/>
        </w:rPr>
        <w:t>Details</w:t>
      </w:r>
    </w:p>
    <w:p>
      <w:pPr>
        <w:pStyle w:val="BodyText"/>
        <w:spacing w:before="10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896416</wp:posOffset>
                </wp:positionH>
                <wp:positionV relativeFrom="paragraph">
                  <wp:posOffset>50930</wp:posOffset>
                </wp:positionV>
                <wp:extent cx="5981065" cy="6350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59810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635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81065" y="6096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87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4.010312pt;width:470.95pt;height:.48004pt;mso-position-horizontal-relative:page;mso-position-vertical-relative:paragraph;z-index:-15724544;mso-wrap-distance-left:0;mso-wrap-distance-right:0" id="docshape14" filled="true" fillcolor="#1f487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numPr>
          <w:ilvl w:val="1"/>
          <w:numId w:val="2"/>
        </w:numPr>
        <w:tabs>
          <w:tab w:pos="902" w:val="left" w:leader="none"/>
        </w:tabs>
        <w:spacing w:line="240" w:lineRule="auto" w:before="318" w:after="0"/>
        <w:ind w:left="902" w:right="0" w:hanging="542"/>
        <w:jc w:val="left"/>
      </w:pPr>
      <w:r>
        <w:rPr>
          <w:color w:val="2D75B6"/>
        </w:rPr>
        <w:t>Zone</w:t>
      </w:r>
      <w:r>
        <w:rPr>
          <w:color w:val="2D75B6"/>
          <w:spacing w:val="-13"/>
        </w:rPr>
        <w:t> </w:t>
      </w:r>
      <w:r>
        <w:rPr>
          <w:color w:val="2D75B6"/>
        </w:rPr>
        <w:t>Multiplier</w:t>
      </w:r>
      <w:r>
        <w:rPr>
          <w:color w:val="2D75B6"/>
          <w:spacing w:val="-7"/>
        </w:rPr>
        <w:t> </w:t>
      </w:r>
      <w:r>
        <w:rPr>
          <w:color w:val="2D75B6"/>
          <w:spacing w:val="-4"/>
        </w:rPr>
        <w:t>Model</w:t>
      </w:r>
    </w:p>
    <w:p>
      <w:pPr>
        <w:pStyle w:val="ListParagraph"/>
        <w:numPr>
          <w:ilvl w:val="2"/>
          <w:numId w:val="2"/>
        </w:numPr>
        <w:tabs>
          <w:tab w:pos="1080" w:val="left" w:leader="none"/>
        </w:tabs>
        <w:spacing w:line="240" w:lineRule="auto" w:before="120" w:after="0"/>
        <w:ind w:left="1080" w:right="0" w:hanging="360"/>
        <w:jc w:val="left"/>
        <w:rPr>
          <w:sz w:val="22"/>
        </w:rPr>
      </w:pPr>
      <w:r>
        <w:rPr>
          <w:sz w:val="22"/>
        </w:rPr>
        <w:t>Model</w:t>
      </w:r>
      <w:r>
        <w:rPr>
          <w:spacing w:val="-8"/>
          <w:sz w:val="22"/>
        </w:rPr>
        <w:t> </w:t>
      </w:r>
      <w:r>
        <w:rPr>
          <w:sz w:val="22"/>
        </w:rPr>
        <w:t>type:</w:t>
      </w:r>
      <w:r>
        <w:rPr>
          <w:spacing w:val="-8"/>
          <w:sz w:val="22"/>
        </w:rPr>
        <w:t> </w:t>
      </w:r>
      <w:r>
        <w:rPr>
          <w:sz w:val="22"/>
        </w:rPr>
        <w:t>scikit-learn</w:t>
      </w:r>
      <w:r>
        <w:rPr>
          <w:spacing w:val="-7"/>
          <w:sz w:val="22"/>
        </w:rPr>
        <w:t> </w:t>
      </w:r>
      <w:r>
        <w:rPr>
          <w:sz w:val="22"/>
        </w:rPr>
        <w:t>Linear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Regression.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0" w:footer="707" w:top="1360" w:bottom="900" w:left="1080" w:right="1080"/>
        </w:sectPr>
      </w:pPr>
    </w:p>
    <w:p>
      <w:pPr>
        <w:pStyle w:val="ListParagraph"/>
        <w:numPr>
          <w:ilvl w:val="2"/>
          <w:numId w:val="2"/>
        </w:numPr>
        <w:tabs>
          <w:tab w:pos="1080" w:val="left" w:leader="none"/>
        </w:tabs>
        <w:spacing w:line="252" w:lineRule="exact" w:before="80" w:after="0"/>
        <w:ind w:left="1080" w:right="0" w:hanging="360"/>
        <w:jc w:val="left"/>
        <w:rPr>
          <w:sz w:val="22"/>
        </w:rPr>
      </w:pPr>
      <w:r>
        <w:rPr>
          <w:sz w:val="22"/>
        </w:rPr>
        <w:t>Target</w:t>
      </w:r>
      <w:r>
        <w:rPr>
          <w:spacing w:val="-14"/>
          <w:sz w:val="22"/>
        </w:rPr>
        <w:t> </w:t>
      </w:r>
      <w:r>
        <w:rPr>
          <w:sz w:val="22"/>
        </w:rPr>
        <w:t>metric:</w:t>
      </w:r>
      <w:r>
        <w:rPr>
          <w:spacing w:val="-13"/>
          <w:sz w:val="22"/>
        </w:rPr>
        <w:t> </w:t>
      </w:r>
      <w:r>
        <w:rPr>
          <w:sz w:val="22"/>
        </w:rPr>
        <w:t>Mean</w:t>
      </w:r>
      <w:r>
        <w:rPr>
          <w:spacing w:val="-13"/>
          <w:sz w:val="22"/>
        </w:rPr>
        <w:t> </w:t>
      </w:r>
      <w:r>
        <w:rPr>
          <w:sz w:val="22"/>
        </w:rPr>
        <w:t>Absolute</w:t>
      </w:r>
      <w:r>
        <w:rPr>
          <w:spacing w:val="-12"/>
          <w:sz w:val="22"/>
        </w:rPr>
        <w:t> </w:t>
      </w:r>
      <w:r>
        <w:rPr>
          <w:sz w:val="22"/>
        </w:rPr>
        <w:t>Error</w:t>
      </w:r>
      <w:r>
        <w:rPr>
          <w:spacing w:val="-13"/>
          <w:sz w:val="22"/>
        </w:rPr>
        <w:t> </w:t>
      </w:r>
      <w:r>
        <w:rPr>
          <w:sz w:val="22"/>
        </w:rPr>
        <w:t>(MAE)</w:t>
      </w:r>
      <w:r>
        <w:rPr>
          <w:spacing w:val="-14"/>
          <w:sz w:val="22"/>
        </w:rPr>
        <w:t> </w:t>
      </w:r>
      <w:r>
        <w:rPr>
          <w:sz w:val="22"/>
        </w:rPr>
        <w:t>&lt;</w:t>
      </w:r>
      <w:r>
        <w:rPr>
          <w:spacing w:val="-12"/>
          <w:sz w:val="22"/>
        </w:rPr>
        <w:t> </w:t>
      </w:r>
      <w:r>
        <w:rPr>
          <w:sz w:val="22"/>
        </w:rPr>
        <w:t>₹3.00.</w:t>
      </w:r>
      <w:r>
        <w:rPr>
          <w:spacing w:val="-12"/>
          <w:sz w:val="22"/>
        </w:rPr>
        <w:t> </w:t>
      </w:r>
      <w:r>
        <w:rPr>
          <w:sz w:val="22"/>
        </w:rPr>
        <w:t>The</w:t>
      </w:r>
      <w:r>
        <w:rPr>
          <w:spacing w:val="-14"/>
          <w:sz w:val="22"/>
        </w:rPr>
        <w:t> </w:t>
      </w:r>
      <w:r>
        <w:rPr>
          <w:sz w:val="22"/>
        </w:rPr>
        <w:t>model’s</w:t>
      </w:r>
      <w:r>
        <w:rPr>
          <w:spacing w:val="-12"/>
          <w:sz w:val="22"/>
        </w:rPr>
        <w:t> </w:t>
      </w:r>
      <w:r>
        <w:rPr>
          <w:sz w:val="22"/>
        </w:rPr>
        <w:t>contribution</w:t>
      </w:r>
      <w:r>
        <w:rPr>
          <w:spacing w:val="-12"/>
          <w:sz w:val="22"/>
        </w:rPr>
        <w:t> </w:t>
      </w:r>
      <w:r>
        <w:rPr>
          <w:sz w:val="22"/>
        </w:rPr>
        <w:t>to</w:t>
      </w:r>
      <w:r>
        <w:rPr>
          <w:spacing w:val="-15"/>
          <w:sz w:val="22"/>
        </w:rPr>
        <w:t> </w:t>
      </w:r>
      <w:r>
        <w:rPr>
          <w:sz w:val="22"/>
        </w:rPr>
        <w:t>the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final</w:t>
      </w:r>
    </w:p>
    <w:p>
      <w:pPr>
        <w:pStyle w:val="BodyText"/>
        <w:spacing w:line="252" w:lineRule="exact"/>
        <w:ind w:left="1080"/>
      </w:pPr>
      <w:r>
        <w:rPr/>
        <w:t>premium</w:t>
      </w:r>
      <w:r>
        <w:rPr>
          <w:spacing w:val="-8"/>
        </w:rPr>
        <w:t> </w:t>
      </w:r>
      <w:r>
        <w:rPr/>
        <w:t>must</w:t>
      </w:r>
      <w:r>
        <w:rPr>
          <w:spacing w:val="-3"/>
        </w:rPr>
        <w:t> </w:t>
      </w:r>
      <w:r>
        <w:rPr/>
        <w:t>be</w:t>
      </w:r>
      <w:r>
        <w:rPr>
          <w:spacing w:val="-2"/>
        </w:rPr>
        <w:t> </w:t>
      </w:r>
      <w:r>
        <w:rPr/>
        <w:t>off</w:t>
      </w:r>
      <w:r>
        <w:rPr>
          <w:spacing w:val="-3"/>
        </w:rPr>
        <w:t> </w:t>
      </w:r>
      <w:r>
        <w:rPr/>
        <w:t>by</w:t>
      </w:r>
      <w:r>
        <w:rPr>
          <w:spacing w:val="-5"/>
        </w:rPr>
        <w:t> </w:t>
      </w:r>
      <w:r>
        <w:rPr/>
        <w:t>no</w:t>
      </w:r>
      <w:r>
        <w:rPr>
          <w:spacing w:val="-2"/>
        </w:rPr>
        <w:t> </w:t>
      </w:r>
      <w:r>
        <w:rPr/>
        <w:t>more</w:t>
      </w:r>
      <w:r>
        <w:rPr>
          <w:spacing w:val="-4"/>
        </w:rPr>
        <w:t> </w:t>
      </w:r>
      <w:r>
        <w:rPr/>
        <w:t>than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few</w:t>
      </w:r>
      <w:r>
        <w:rPr>
          <w:spacing w:val="-4"/>
        </w:rPr>
        <w:t> </w:t>
      </w:r>
      <w:r>
        <w:rPr/>
        <w:t>rupees</w:t>
      </w:r>
      <w:r>
        <w:rPr>
          <w:spacing w:val="-2"/>
        </w:rPr>
        <w:t> </w:t>
      </w:r>
      <w:r>
        <w:rPr/>
        <w:t>from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ideal</w:t>
      </w:r>
      <w:r>
        <w:rPr>
          <w:spacing w:val="-3"/>
        </w:rPr>
        <w:t> </w:t>
      </w:r>
      <w:r>
        <w:rPr/>
        <w:t>risk</w:t>
      </w:r>
      <w:r>
        <w:rPr>
          <w:spacing w:val="-3"/>
        </w:rPr>
        <w:t> </w:t>
      </w:r>
      <w:r>
        <w:rPr>
          <w:spacing w:val="-2"/>
        </w:rPr>
        <w:t>price.</w:t>
      </w:r>
    </w:p>
    <w:p>
      <w:pPr>
        <w:pStyle w:val="ListParagraph"/>
        <w:numPr>
          <w:ilvl w:val="2"/>
          <w:numId w:val="2"/>
        </w:numPr>
        <w:tabs>
          <w:tab w:pos="1080" w:val="left" w:leader="none"/>
        </w:tabs>
        <w:spacing w:line="240" w:lineRule="auto" w:before="2" w:after="0"/>
        <w:ind w:left="1080" w:right="548" w:hanging="360"/>
        <w:jc w:val="left"/>
        <w:rPr>
          <w:sz w:val="22"/>
        </w:rPr>
      </w:pPr>
      <w:r>
        <w:rPr>
          <w:sz w:val="22"/>
        </w:rPr>
        <w:t>Retraining</w:t>
      </w:r>
      <w:r>
        <w:rPr>
          <w:spacing w:val="-4"/>
          <w:sz w:val="22"/>
        </w:rPr>
        <w:t> </w:t>
      </w:r>
      <w:r>
        <w:rPr>
          <w:sz w:val="22"/>
        </w:rPr>
        <w:t>schedule:</w:t>
      </w:r>
      <w:r>
        <w:rPr>
          <w:spacing w:val="-5"/>
          <w:sz w:val="22"/>
        </w:rPr>
        <w:t> </w:t>
      </w:r>
      <w:r>
        <w:rPr>
          <w:sz w:val="22"/>
        </w:rPr>
        <w:t>weekly,</w:t>
      </w:r>
      <w:r>
        <w:rPr>
          <w:spacing w:val="-2"/>
          <w:sz w:val="22"/>
        </w:rPr>
        <w:t> </w:t>
      </w:r>
      <w:r>
        <w:rPr>
          <w:sz w:val="22"/>
        </w:rPr>
        <w:t>automated.</w:t>
      </w:r>
      <w:r>
        <w:rPr>
          <w:spacing w:val="-5"/>
          <w:sz w:val="22"/>
        </w:rPr>
        <w:t> </w:t>
      </w:r>
      <w:r>
        <w:rPr>
          <w:sz w:val="22"/>
        </w:rPr>
        <w:t>Latest</w:t>
      </w:r>
      <w:r>
        <w:rPr>
          <w:spacing w:val="-5"/>
          <w:sz w:val="22"/>
        </w:rPr>
        <w:t> </w:t>
      </w:r>
      <w:r>
        <w:rPr>
          <w:sz w:val="22"/>
        </w:rPr>
        <w:t>claims</w:t>
      </w:r>
      <w:r>
        <w:rPr>
          <w:spacing w:val="-3"/>
          <w:sz w:val="22"/>
        </w:rPr>
        <w:t> </w:t>
      </w:r>
      <w:r>
        <w:rPr>
          <w:sz w:val="22"/>
        </w:rPr>
        <w:t>data</w:t>
      </w:r>
      <w:r>
        <w:rPr>
          <w:spacing w:val="-5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z w:val="22"/>
        </w:rPr>
        <w:t>appended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training set (recent data weighted 2×). If the new model’s MAE is lower than the current production model, it is auto-promoted.</w:t>
      </w:r>
    </w:p>
    <w:p>
      <w:pPr>
        <w:pStyle w:val="BodyText"/>
      </w:pPr>
    </w:p>
    <w:p>
      <w:pPr>
        <w:pStyle w:val="BodyText"/>
        <w:spacing w:before="63"/>
      </w:pPr>
    </w:p>
    <w:p>
      <w:pPr>
        <w:pStyle w:val="Heading2"/>
        <w:numPr>
          <w:ilvl w:val="1"/>
          <w:numId w:val="2"/>
        </w:numPr>
        <w:tabs>
          <w:tab w:pos="902" w:val="left" w:leader="none"/>
        </w:tabs>
        <w:spacing w:line="240" w:lineRule="auto" w:before="0" w:after="0"/>
        <w:ind w:left="902" w:right="0" w:hanging="542"/>
        <w:jc w:val="left"/>
      </w:pPr>
      <w:r>
        <w:rPr>
          <w:color w:val="2D75B6"/>
        </w:rPr>
        <w:t>Feature</w:t>
      </w:r>
      <w:r>
        <w:rPr>
          <w:color w:val="2D75B6"/>
          <w:spacing w:val="-4"/>
        </w:rPr>
        <w:t> </w:t>
      </w:r>
      <w:r>
        <w:rPr>
          <w:color w:val="2D75B6"/>
          <w:spacing w:val="-5"/>
        </w:rPr>
        <w:t>Set</w:t>
      </w:r>
    </w:p>
    <w:p>
      <w:pPr>
        <w:pStyle w:val="BodyText"/>
        <w:spacing w:before="8"/>
        <w:rPr>
          <w:rFonts w:ascii="Arial"/>
          <w:b/>
          <w:sz w:val="10"/>
        </w:rPr>
      </w:pPr>
    </w:p>
    <w:tbl>
      <w:tblPr>
        <w:tblW w:w="0" w:type="auto"/>
        <w:jc w:val="left"/>
        <w:tblInd w:w="363" w:type="dxa"/>
        <w:tblBorders>
          <w:top w:val="single" w:sz="2" w:space="0" w:color="878787"/>
          <w:left w:val="single" w:sz="2" w:space="0" w:color="878787"/>
          <w:bottom w:val="single" w:sz="2" w:space="0" w:color="878787"/>
          <w:right w:val="single" w:sz="2" w:space="0" w:color="878787"/>
          <w:insideH w:val="single" w:sz="2" w:space="0" w:color="878787"/>
          <w:insideV w:val="single" w:sz="2" w:space="0" w:color="87878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45"/>
        <w:gridCol w:w="1388"/>
        <w:gridCol w:w="2161"/>
        <w:gridCol w:w="2670"/>
      </w:tblGrid>
      <w:tr>
        <w:trPr>
          <w:trHeight w:val="364" w:hRule="atLeast"/>
        </w:trPr>
        <w:tc>
          <w:tcPr>
            <w:tcW w:w="3145" w:type="dxa"/>
            <w:shd w:val="clear" w:color="auto" w:fill="1F487C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Feature</w:t>
            </w:r>
          </w:p>
        </w:tc>
        <w:tc>
          <w:tcPr>
            <w:tcW w:w="1388" w:type="dxa"/>
            <w:shd w:val="clear" w:color="auto" w:fill="1F487C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4"/>
                <w:sz w:val="18"/>
              </w:rPr>
              <w:t>Type</w:t>
            </w:r>
          </w:p>
        </w:tc>
        <w:tc>
          <w:tcPr>
            <w:tcW w:w="2161" w:type="dxa"/>
            <w:shd w:val="clear" w:color="auto" w:fill="1F487C"/>
          </w:tcPr>
          <w:p>
            <w:pPr>
              <w:pStyle w:val="TableParagraph"/>
              <w:ind w:left="11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Source</w:t>
            </w:r>
          </w:p>
        </w:tc>
        <w:tc>
          <w:tcPr>
            <w:tcW w:w="2670" w:type="dxa"/>
            <w:shd w:val="clear" w:color="auto" w:fill="1F487C"/>
          </w:tcPr>
          <w:p>
            <w:pPr>
              <w:pStyle w:val="TableParagraph"/>
              <w:ind w:left="11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Example</w:t>
            </w:r>
          </w:p>
        </w:tc>
      </w:tr>
      <w:tr>
        <w:trPr>
          <w:trHeight w:val="362" w:hRule="atLeast"/>
        </w:trPr>
        <w:tc>
          <w:tcPr>
            <w:tcW w:w="3145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zone_id</w:t>
            </w:r>
          </w:p>
        </w:tc>
        <w:tc>
          <w:tcPr>
            <w:tcW w:w="1388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Categorical</w:t>
            </w:r>
          </w:p>
        </w:tc>
        <w:tc>
          <w:tcPr>
            <w:tcW w:w="2161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TableParagraph"/>
              <w:ind w:left="118"/>
              <w:rPr>
                <w:sz w:val="18"/>
              </w:rPr>
            </w:pPr>
            <w:r>
              <w:rPr>
                <w:spacing w:val="-2"/>
                <w:sz w:val="18"/>
              </w:rPr>
              <w:t>Internal</w:t>
            </w:r>
          </w:p>
        </w:tc>
        <w:tc>
          <w:tcPr>
            <w:tcW w:w="2670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TableParagraph"/>
              <w:ind w:left="118"/>
              <w:rPr>
                <w:sz w:val="18"/>
              </w:rPr>
            </w:pPr>
            <w:r>
              <w:rPr>
                <w:spacing w:val="-2"/>
                <w:sz w:val="18"/>
              </w:rPr>
              <w:t>MUM-AND-</w:t>
            </w:r>
            <w:r>
              <w:rPr>
                <w:spacing w:val="-10"/>
                <w:sz w:val="18"/>
              </w:rPr>
              <w:t>W</w:t>
            </w:r>
          </w:p>
        </w:tc>
      </w:tr>
      <w:tr>
        <w:trPr>
          <w:trHeight w:val="364" w:hRule="atLeast"/>
        </w:trPr>
        <w:tc>
          <w:tcPr>
            <w:tcW w:w="314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>
            <w:pPr>
              <w:pStyle w:val="TableParagraph"/>
              <w:spacing w:before="79"/>
              <w:rPr>
                <w:sz w:val="18"/>
              </w:rPr>
            </w:pPr>
            <w:r>
              <w:rPr>
                <w:spacing w:val="-4"/>
                <w:sz w:val="18"/>
              </w:rPr>
              <w:t>city</w:t>
            </w:r>
          </w:p>
        </w:tc>
        <w:tc>
          <w:tcPr>
            <w:tcW w:w="138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>
            <w:pPr>
              <w:pStyle w:val="TableParagraph"/>
              <w:spacing w:before="79"/>
              <w:rPr>
                <w:sz w:val="18"/>
              </w:rPr>
            </w:pPr>
            <w:r>
              <w:rPr>
                <w:spacing w:val="-2"/>
                <w:sz w:val="18"/>
              </w:rPr>
              <w:t>Categorical</w:t>
            </w:r>
          </w:p>
        </w:tc>
        <w:tc>
          <w:tcPr>
            <w:tcW w:w="2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>
            <w:pPr>
              <w:pStyle w:val="TableParagraph"/>
              <w:spacing w:before="79"/>
              <w:ind w:left="118"/>
              <w:rPr>
                <w:sz w:val="18"/>
              </w:rPr>
            </w:pPr>
            <w:r>
              <w:rPr>
                <w:spacing w:val="-2"/>
                <w:sz w:val="18"/>
              </w:rPr>
              <w:t>Internal</w:t>
            </w:r>
          </w:p>
        </w:tc>
        <w:tc>
          <w:tcPr>
            <w:tcW w:w="267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>
            <w:pPr>
              <w:pStyle w:val="TableParagraph"/>
              <w:spacing w:before="79"/>
              <w:ind w:left="118"/>
              <w:rPr>
                <w:sz w:val="18"/>
              </w:rPr>
            </w:pPr>
            <w:r>
              <w:rPr>
                <w:spacing w:val="-2"/>
                <w:sz w:val="18"/>
              </w:rPr>
              <w:t>Mumbai</w:t>
            </w:r>
          </w:p>
        </w:tc>
      </w:tr>
      <w:tr>
        <w:trPr>
          <w:trHeight w:val="365" w:hRule="atLeast"/>
        </w:trPr>
        <w:tc>
          <w:tcPr>
            <w:tcW w:w="314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historical_rain_days_per_year</w:t>
            </w:r>
          </w:p>
        </w:tc>
        <w:tc>
          <w:tcPr>
            <w:tcW w:w="138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Numeric</w:t>
            </w:r>
          </w:p>
        </w:tc>
        <w:tc>
          <w:tcPr>
            <w:tcW w:w="2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TableParagraph"/>
              <w:ind w:left="118"/>
              <w:rPr>
                <w:sz w:val="18"/>
              </w:rPr>
            </w:pPr>
            <w:r>
              <w:rPr>
                <w:sz w:val="18"/>
              </w:rPr>
              <w:t>Weather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5"/>
                <w:sz w:val="18"/>
              </w:rPr>
              <w:t>API</w:t>
            </w:r>
          </w:p>
        </w:tc>
        <w:tc>
          <w:tcPr>
            <w:tcW w:w="267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TableParagraph"/>
              <w:ind w:left="118"/>
              <w:rPr>
                <w:sz w:val="18"/>
              </w:rPr>
            </w:pPr>
            <w:r>
              <w:rPr>
                <w:spacing w:val="-5"/>
                <w:sz w:val="18"/>
              </w:rPr>
              <w:t>45</w:t>
            </w:r>
          </w:p>
        </w:tc>
      </w:tr>
      <w:tr>
        <w:trPr>
          <w:trHeight w:val="364" w:hRule="atLeast"/>
        </w:trPr>
        <w:tc>
          <w:tcPr>
            <w:tcW w:w="314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historical_aqi_gt300_days_per_year</w:t>
            </w:r>
          </w:p>
        </w:tc>
        <w:tc>
          <w:tcPr>
            <w:tcW w:w="138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Numeric</w:t>
            </w:r>
          </w:p>
        </w:tc>
        <w:tc>
          <w:tcPr>
            <w:tcW w:w="2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>
            <w:pPr>
              <w:pStyle w:val="TableParagraph"/>
              <w:ind w:left="118"/>
              <w:rPr>
                <w:sz w:val="18"/>
              </w:rPr>
            </w:pPr>
            <w:r>
              <w:rPr>
                <w:sz w:val="18"/>
              </w:rPr>
              <w:t>AQI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5"/>
                <w:sz w:val="18"/>
              </w:rPr>
              <w:t>API</w:t>
            </w:r>
          </w:p>
        </w:tc>
        <w:tc>
          <w:tcPr>
            <w:tcW w:w="267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>
            <w:pPr>
              <w:pStyle w:val="TableParagraph"/>
              <w:ind w:left="118"/>
              <w:rPr>
                <w:sz w:val="18"/>
              </w:rPr>
            </w:pPr>
            <w:r>
              <w:rPr>
                <w:spacing w:val="-5"/>
                <w:sz w:val="18"/>
              </w:rPr>
              <w:t>25</w:t>
            </w:r>
          </w:p>
        </w:tc>
      </w:tr>
      <w:tr>
        <w:trPr>
          <w:trHeight w:val="362" w:hRule="atLeast"/>
        </w:trPr>
        <w:tc>
          <w:tcPr>
            <w:tcW w:w="314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historical_heat_gt44_days_per_year</w:t>
            </w:r>
          </w:p>
        </w:tc>
        <w:tc>
          <w:tcPr>
            <w:tcW w:w="138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Numeric</w:t>
            </w:r>
          </w:p>
        </w:tc>
        <w:tc>
          <w:tcPr>
            <w:tcW w:w="2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TableParagraph"/>
              <w:ind w:left="118"/>
              <w:rPr>
                <w:sz w:val="18"/>
              </w:rPr>
            </w:pPr>
            <w:r>
              <w:rPr>
                <w:sz w:val="18"/>
              </w:rPr>
              <w:t>Weather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5"/>
                <w:sz w:val="18"/>
              </w:rPr>
              <w:t>API</w:t>
            </w:r>
          </w:p>
        </w:tc>
        <w:tc>
          <w:tcPr>
            <w:tcW w:w="267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TableParagraph"/>
              <w:ind w:left="118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</w:tr>
      <w:tr>
        <w:trPr>
          <w:trHeight w:val="364" w:hRule="atLeast"/>
        </w:trPr>
        <w:tc>
          <w:tcPr>
            <w:tcW w:w="314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>
            <w:pPr>
              <w:pStyle w:val="TableParagraph"/>
              <w:spacing w:before="79"/>
              <w:rPr>
                <w:sz w:val="18"/>
              </w:rPr>
            </w:pPr>
            <w:r>
              <w:rPr>
                <w:spacing w:val="-2"/>
                <w:sz w:val="18"/>
              </w:rPr>
              <w:t>is_coastal</w:t>
            </w:r>
          </w:p>
        </w:tc>
        <w:tc>
          <w:tcPr>
            <w:tcW w:w="138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>
            <w:pPr>
              <w:pStyle w:val="TableParagraph"/>
              <w:spacing w:before="79"/>
              <w:rPr>
                <w:sz w:val="18"/>
              </w:rPr>
            </w:pPr>
            <w:r>
              <w:rPr>
                <w:spacing w:val="-2"/>
                <w:sz w:val="18"/>
              </w:rPr>
              <w:t>Boolean</w:t>
            </w:r>
          </w:p>
        </w:tc>
        <w:tc>
          <w:tcPr>
            <w:tcW w:w="2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>
            <w:pPr>
              <w:pStyle w:val="TableParagraph"/>
              <w:spacing w:before="79"/>
              <w:ind w:left="118"/>
              <w:rPr>
                <w:sz w:val="18"/>
              </w:rPr>
            </w:pPr>
            <w:r>
              <w:rPr>
                <w:spacing w:val="-2"/>
                <w:sz w:val="18"/>
              </w:rPr>
              <w:t>Internal</w:t>
            </w:r>
          </w:p>
        </w:tc>
        <w:tc>
          <w:tcPr>
            <w:tcW w:w="267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>
            <w:pPr>
              <w:pStyle w:val="TableParagraph"/>
              <w:spacing w:before="79"/>
              <w:ind w:left="118"/>
              <w:rPr>
                <w:sz w:val="18"/>
              </w:rPr>
            </w:pPr>
            <w:r>
              <w:rPr>
                <w:spacing w:val="-4"/>
                <w:sz w:val="18"/>
              </w:rPr>
              <w:t>true</w:t>
            </w:r>
          </w:p>
        </w:tc>
      </w:tr>
      <w:tr>
        <w:trPr>
          <w:trHeight w:val="364" w:hRule="atLeast"/>
        </w:trPr>
        <w:tc>
          <w:tcPr>
            <w:tcW w:w="314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avg_elevation_metres</w:t>
            </w:r>
          </w:p>
        </w:tc>
        <w:tc>
          <w:tcPr>
            <w:tcW w:w="138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Numeric</w:t>
            </w:r>
          </w:p>
        </w:tc>
        <w:tc>
          <w:tcPr>
            <w:tcW w:w="2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TableParagraph"/>
              <w:ind w:left="118"/>
              <w:rPr>
                <w:sz w:val="18"/>
              </w:rPr>
            </w:pPr>
            <w:r>
              <w:rPr>
                <w:spacing w:val="-2"/>
                <w:sz w:val="18"/>
              </w:rPr>
              <w:t>Topographical</w:t>
            </w:r>
          </w:p>
        </w:tc>
        <w:tc>
          <w:tcPr>
            <w:tcW w:w="267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TableParagraph"/>
              <w:ind w:left="118"/>
              <w:rPr>
                <w:sz w:val="18"/>
              </w:rPr>
            </w:pPr>
            <w:r>
              <w:rPr>
                <w:spacing w:val="-5"/>
                <w:sz w:val="18"/>
              </w:rPr>
              <w:t>14</w:t>
            </w:r>
          </w:p>
        </w:tc>
      </w:tr>
    </w:tbl>
    <w:p>
      <w:pPr>
        <w:pStyle w:val="BodyText"/>
        <w:spacing w:before="249"/>
        <w:rPr>
          <w:rFonts w:ascii="Arial"/>
          <w:b/>
          <w:sz w:val="28"/>
        </w:rPr>
      </w:pPr>
    </w:p>
    <w:p>
      <w:pPr>
        <w:pStyle w:val="ListParagraph"/>
        <w:numPr>
          <w:ilvl w:val="1"/>
          <w:numId w:val="2"/>
        </w:numPr>
        <w:tabs>
          <w:tab w:pos="902" w:val="left" w:leader="none"/>
        </w:tabs>
        <w:spacing w:line="240" w:lineRule="auto" w:before="0" w:after="0"/>
        <w:ind w:left="902" w:right="0" w:hanging="542"/>
        <w:jc w:val="left"/>
        <w:rPr>
          <w:rFonts w:ascii="Arial"/>
          <w:b/>
          <w:sz w:val="28"/>
        </w:rPr>
      </w:pPr>
      <w:r>
        <w:rPr>
          <w:rFonts w:ascii="Arial"/>
          <w:b/>
          <w:color w:val="2D75B6"/>
          <w:sz w:val="28"/>
        </w:rPr>
        <w:t>Training</w:t>
      </w:r>
      <w:r>
        <w:rPr>
          <w:rFonts w:ascii="Arial"/>
          <w:b/>
          <w:color w:val="2D75B6"/>
          <w:spacing w:val="-11"/>
          <w:sz w:val="28"/>
        </w:rPr>
        <w:t> </w:t>
      </w:r>
      <w:r>
        <w:rPr>
          <w:rFonts w:ascii="Arial"/>
          <w:b/>
          <w:color w:val="2D75B6"/>
          <w:spacing w:val="-4"/>
          <w:sz w:val="28"/>
        </w:rPr>
        <w:t>Data</w:t>
      </w:r>
    </w:p>
    <w:p>
      <w:pPr>
        <w:pStyle w:val="BodyText"/>
        <w:spacing w:before="123"/>
        <w:ind w:left="360" w:right="311"/>
      </w:pPr>
      <w:r>
        <w:rPr/>
        <w:t>A</w:t>
      </w:r>
      <w:r>
        <w:rPr>
          <w:spacing w:val="-3"/>
        </w:rPr>
        <w:t> </w:t>
      </w:r>
      <w:r>
        <w:rPr/>
        <w:t>synthetic</w:t>
      </w:r>
      <w:r>
        <w:rPr>
          <w:spacing w:val="-2"/>
        </w:rPr>
        <w:t> </w:t>
      </w:r>
      <w:r>
        <w:rPr/>
        <w:t>dataset</w:t>
      </w:r>
      <w:r>
        <w:rPr>
          <w:spacing w:val="-4"/>
        </w:rPr>
        <w:t> </w:t>
      </w:r>
      <w:r>
        <w:rPr/>
        <w:t>of</w:t>
      </w:r>
      <w:r>
        <w:rPr>
          <w:spacing w:val="-1"/>
        </w:rPr>
        <w:t> </w:t>
      </w:r>
      <w:r>
        <w:rPr/>
        <w:t>10,000+</w:t>
      </w:r>
      <w:r>
        <w:rPr>
          <w:spacing w:val="-5"/>
        </w:rPr>
        <w:t> </w:t>
      </w:r>
      <w:r>
        <w:rPr/>
        <w:t>entries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generated</w:t>
      </w:r>
      <w:r>
        <w:rPr>
          <w:spacing w:val="-3"/>
        </w:rPr>
        <w:t> </w:t>
      </w:r>
      <w:r>
        <w:rPr/>
        <w:t>from</w:t>
      </w:r>
      <w:r>
        <w:rPr>
          <w:spacing w:val="-4"/>
        </w:rPr>
        <w:t> </w:t>
      </w:r>
      <w:r>
        <w:rPr/>
        <w:t>approximately</w:t>
      </w:r>
      <w:r>
        <w:rPr>
          <w:spacing w:val="-5"/>
        </w:rPr>
        <w:t> </w:t>
      </w:r>
      <w:r>
        <w:rPr/>
        <w:t>50–100</w:t>
      </w:r>
      <w:r>
        <w:rPr>
          <w:spacing w:val="-3"/>
        </w:rPr>
        <w:t> </w:t>
      </w:r>
      <w:r>
        <w:rPr/>
        <w:t>defined</w:t>
      </w:r>
      <w:r>
        <w:rPr>
          <w:spacing w:val="-5"/>
        </w:rPr>
        <w:t> </w:t>
      </w:r>
      <w:r>
        <w:rPr/>
        <w:t>zones across the five cities. Historical API data populates the features. Target risk scores are hand- crafted from known ground truths (Mumbai monsoon zones score high; elevated Bangalore zones score low). The training pipeline is fully scripted and reproducible from the repository.</w:t>
      </w:r>
    </w:p>
    <w:sectPr>
      <w:pgSz w:w="12240" w:h="15840"/>
      <w:pgMar w:header="0" w:footer="707" w:top="1360" w:bottom="90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9840">
              <wp:simplePos x="0" y="0"/>
              <wp:positionH relativeFrom="page">
                <wp:posOffset>4784216</wp:posOffset>
              </wp:positionH>
              <wp:positionV relativeFrom="page">
                <wp:posOffset>9469787</wp:posOffset>
              </wp:positionV>
              <wp:extent cx="2087245" cy="15367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08724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color w:val="878787"/>
                              <w:sz w:val="18"/>
                            </w:rPr>
                            <w:t>GigGuard</w:t>
                          </w:r>
                          <w:r>
                            <w:rPr>
                              <w:color w:val="878787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color w:val="878787"/>
                              <w:sz w:val="18"/>
                            </w:rPr>
                            <w:t>Premium</w:t>
                          </w:r>
                          <w:r>
                            <w:rPr>
                              <w:color w:val="878787"/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color w:val="878787"/>
                              <w:sz w:val="18"/>
                            </w:rPr>
                            <w:t>Model</w:t>
                          </w:r>
                          <w:r>
                            <w:rPr>
                              <w:color w:val="878787"/>
                              <w:spacing w:val="48"/>
                              <w:sz w:val="18"/>
                            </w:rPr>
                            <w:t> </w:t>
                          </w:r>
                          <w:r>
                            <w:rPr>
                              <w:color w:val="878787"/>
                              <w:sz w:val="18"/>
                            </w:rPr>
                            <w:t>|</w:t>
                          </w:r>
                          <w:r>
                            <w:rPr>
                              <w:color w:val="878787"/>
                              <w:spacing w:val="44"/>
                              <w:sz w:val="18"/>
                            </w:rPr>
                            <w:t> </w:t>
                          </w:r>
                          <w:r>
                            <w:rPr>
                              <w:color w:val="878787"/>
                              <w:sz w:val="18"/>
                            </w:rPr>
                            <w:t>Version</w:t>
                          </w:r>
                          <w:r>
                            <w:rPr>
                              <w:color w:val="878787"/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color w:val="878787"/>
                              <w:spacing w:val="-5"/>
                              <w:sz w:val="18"/>
                            </w:rPr>
                            <w:t>1.1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76.709991pt;margin-top:745.652527pt;width:164.35pt;height:12.1pt;mso-position-horizontal-relative:page;mso-position-vertical-relative:page;z-index:-16176640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878787"/>
                        <w:sz w:val="18"/>
                      </w:rPr>
                      <w:t>GigGuard</w:t>
                    </w:r>
                    <w:r>
                      <w:rPr>
                        <w:color w:val="878787"/>
                        <w:spacing w:val="-2"/>
                        <w:sz w:val="18"/>
                      </w:rPr>
                      <w:t> </w:t>
                    </w:r>
                    <w:r>
                      <w:rPr>
                        <w:color w:val="878787"/>
                        <w:sz w:val="18"/>
                      </w:rPr>
                      <w:t>Premium</w:t>
                    </w:r>
                    <w:r>
                      <w:rPr>
                        <w:color w:val="878787"/>
                        <w:spacing w:val="-3"/>
                        <w:sz w:val="18"/>
                      </w:rPr>
                      <w:t> </w:t>
                    </w:r>
                    <w:r>
                      <w:rPr>
                        <w:color w:val="878787"/>
                        <w:sz w:val="18"/>
                      </w:rPr>
                      <w:t>Model</w:t>
                    </w:r>
                    <w:r>
                      <w:rPr>
                        <w:color w:val="878787"/>
                        <w:spacing w:val="48"/>
                        <w:sz w:val="18"/>
                      </w:rPr>
                      <w:t> </w:t>
                    </w:r>
                    <w:r>
                      <w:rPr>
                        <w:color w:val="878787"/>
                        <w:sz w:val="18"/>
                      </w:rPr>
                      <w:t>|</w:t>
                    </w:r>
                    <w:r>
                      <w:rPr>
                        <w:color w:val="878787"/>
                        <w:spacing w:val="44"/>
                        <w:sz w:val="18"/>
                      </w:rPr>
                      <w:t> </w:t>
                    </w:r>
                    <w:r>
                      <w:rPr>
                        <w:color w:val="878787"/>
                        <w:sz w:val="18"/>
                      </w:rPr>
                      <w:t>Version</w:t>
                    </w:r>
                    <w:r>
                      <w:rPr>
                        <w:color w:val="878787"/>
                        <w:spacing w:val="-1"/>
                        <w:sz w:val="18"/>
                      </w:rPr>
                      <w:t> </w:t>
                    </w:r>
                    <w:r>
                      <w:rPr>
                        <w:color w:val="878787"/>
                        <w:spacing w:val="-5"/>
                        <w:sz w:val="18"/>
                      </w:rPr>
                      <w:t>1.1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6"/>
      <w:numFmt w:val="decimal"/>
      <w:lvlText w:val="%1."/>
      <w:lvlJc w:val="left"/>
      <w:pPr>
        <w:ind w:left="760" w:hanging="401"/>
        <w:jc w:val="left"/>
      </w:pPr>
      <w:rPr>
        <w:rFonts w:hint="default" w:ascii="Arial" w:hAnsi="Arial" w:eastAsia="Arial" w:cs="Arial"/>
        <w:b/>
        <w:bCs/>
        <w:i w:val="0"/>
        <w:iCs w:val="0"/>
        <w:color w:val="1F487C"/>
        <w:spacing w:val="0"/>
        <w:w w:val="100"/>
        <w:sz w:val="36"/>
        <w:szCs w:val="3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05" w:hanging="545"/>
        <w:jc w:val="left"/>
      </w:pPr>
      <w:rPr>
        <w:rFonts w:hint="default" w:ascii="Arial" w:hAnsi="Arial" w:eastAsia="Arial" w:cs="Arial"/>
        <w:b/>
        <w:bCs/>
        <w:i w:val="0"/>
        <w:iCs w:val="0"/>
        <w:color w:val="2D75B6"/>
        <w:spacing w:val="0"/>
        <w:w w:val="100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8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0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3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5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0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3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60" w:hanging="401"/>
        <w:jc w:val="left"/>
      </w:pPr>
      <w:rPr>
        <w:rFonts w:hint="default" w:ascii="Arial" w:hAnsi="Arial" w:eastAsia="Arial" w:cs="Arial"/>
        <w:b/>
        <w:bCs/>
        <w:i w:val="0"/>
        <w:iCs w:val="0"/>
        <w:color w:val="1F487C"/>
        <w:spacing w:val="0"/>
        <w:w w:val="100"/>
        <w:sz w:val="36"/>
        <w:szCs w:val="3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2" w:hanging="4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24" w:hanging="4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56" w:hanging="4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88" w:hanging="4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20" w:hanging="4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52" w:hanging="4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84" w:hanging="4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16" w:hanging="401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760" w:hanging="400"/>
      <w:outlineLvl w:val="1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60" w:hanging="542"/>
      <w:outlineLvl w:val="2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00"/>
      <w:ind w:right="1"/>
      <w:jc w:val="center"/>
    </w:pPr>
    <w:rPr>
      <w:rFonts w:ascii="Arial" w:hAnsi="Arial" w:eastAsia="Arial" w:cs="Arial"/>
      <w:b/>
      <w:bCs/>
      <w:sz w:val="56"/>
      <w:szCs w:val="5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60" w:hanging="542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77"/>
      <w:ind w:left="119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dcterms:created xsi:type="dcterms:W3CDTF">2026-03-18T18:18:29Z</dcterms:created>
  <dcterms:modified xsi:type="dcterms:W3CDTF">2026-03-18T18:18:29Z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2026-03-18T00:00:00Z</vt:filetime>
  </property>
  <property fmtid="{D5CDD505-2E9C-101B-9397-08002B2CF9AE}" pid="5" name="Producer">
    <vt:lpwstr>Microsoft® Word 2021</vt:lpwstr>
  </property>
</Properties>
</file>