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p>
      <w:pPr>
        <w:spacing w:before="300"/>
      </w:pPr>
      <w:r>
        <w:drawing>
          <wp:inline distT="0" distB="0" distL="0" distR="0">
            <wp:extent cx="2857500" cy="2857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2857500"/>
                    </a:xfrm>
                    <a:prstGeom prst="rect">
                      <a:avLst/>
                    </a:prstGeom>
                  </pic:spPr>
                </pic:pic>
              </a:graphicData>
            </a:graphic>
          </wp:inline>
        </w:drawing>
      </w:r>
    </w:p>
    <w:p>
      <w:r>
        <w:drawing>
          <wp:inline distT="0" distB="0" distL="0" distR="0">
            <wp:extent cx="2857500" cy="2857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285750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0</w:t>
      </w:r>
    </w:p>
    <w:p>
      <w:pPr>
        <w:jc w:val="center"/>
      </w:pPr>
      <w:r>
        <w:rPr>
          <w:sz w:val="25"/>
          <w:szCs w:val="25"/>
        </w:rPr>
        <w:t xml:space="preserve">בדיקות מערכת זיון התקרה נעשתה במספר מקומות. התקרה מזוהה כתקרת מקשית. עובי כיסוי הבטון כ- 2-3 ס"מ. עובי התקרה נטו 11-12 ס"מ.</w:t>
      </w:r>
    </w:p>
    <w:p>
      <w:pPr>
        <w:jc w:val="center"/>
      </w:pPr>
      <w:r>
        <w:drawing>
          <wp:inline distT="0" distB="0" distL="0" distR="0">
            <wp:extent cx="4762500" cy="142875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762500" cy="1428750"/>
                    </a:xfrm>
                    <a:prstGeom prst="rect">
                      <a:avLst/>
                    </a:prstGeom>
                  </pic:spPr>
                </pic:pic>
              </a:graphicData>
            </a:graphic>
          </wp:inline>
        </w:drawing>
      </w:r>
      <w:r>
        <w:drawing>
          <wp:inline distT="0" distB="0" distL="0" distR="0">
            <wp:extent cx="4762500" cy="142875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762500" cy="1428750"/>
                    </a:xfrm>
                    <a:prstGeom prst="rect">
                      <a:avLst/>
                    </a:prstGeom>
                  </pic:spPr>
                </pic:pic>
              </a:graphicData>
            </a:graphic>
          </wp:inline>
        </w:drawing>
      </w:r>
    </w:p>
    <w:p>
      <w:pPr>
        <w:jc w:val="center"/>
      </w:pPr>
      <w:r>
        <w:br w:type="page"/>
      </w:r>
      <w:r>
        <w:rPr>
          <w:b/>
          <w:bCs/>
          <w:u w:val="single"/>
          <w:sz w:val="35"/>
          <w:szCs w:val="35"/>
        </w:rPr>
        <w:t xml:space="preserve">קירות קומת 0</w:t>
      </w:r>
    </w:p>
    <w:p>
      <w:pPr>
        <w:jc w:val="center"/>
      </w:pPr>
      <w:r>
        <w:drawing>
          <wp:inline distT="0" distB="0" distL="0" distR="0">
            <wp:extent cx="4762500" cy="2381250"/>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238125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1</w:t>
      </w:r>
    </w:p>
    <w:p>
      <w:pPr>
        <w:jc w:val="center"/>
      </w:pPr>
      <w:r>
        <w:rPr>
          <w:sz w:val="25"/>
          <w:szCs w:val="25"/>
        </w:rPr>
        <w:t xml:space="preserve">בדיקות מערכת זיון התקרה נעשתה במספר מקומות. התקרה מזוהה כתקרת מקשית. עובי כיסוי הבטון כ- 2-3 ס"מ. עובי התקרה נטו 11-12 ס"מ.</w:t>
      </w:r>
    </w:p>
    <w:p>
      <w:pPr>
        <w:jc w:val="center"/>
      </w:pPr>
      <w:r>
        <w:drawing>
          <wp:inline distT="0" distB="0" distL="0" distR="0">
            <wp:extent cx="4762500" cy="1428750"/>
            <wp:effectExtent b="0" l="0" r="0" t="0"/>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762500" cy="1428750"/>
                    </a:xfrm>
                    <a:prstGeom prst="rect">
                      <a:avLst/>
                    </a:prstGeom>
                  </pic:spPr>
                </pic:pic>
              </a:graphicData>
            </a:graphic>
          </wp:inline>
        </w:drawing>
      </w:r>
    </w:p>
    <w:p>
      <w:pPr>
        <w:jc w:val="center"/>
      </w:pPr>
      <w:r>
        <w:br w:type="page"/>
      </w:r>
      <w:r>
        <w:rPr>
          <w:b/>
          <w:bCs/>
          <w:u w:val="single"/>
          <w:sz w:val="35"/>
          <w:szCs w:val="35"/>
        </w:rPr>
        <w:t xml:space="preserve">קירות קומת 1</w:t>
      </w:r>
    </w:p>
    <w:p>
      <w:pPr>
        <w:jc w:val="center"/>
      </w:pPr>
      <w:r>
        <w:drawing>
          <wp:inline distT="0" distB="0" distL="0" distR="0">
            <wp:extent cx="4762500" cy="2381250"/>
            <wp:effectExtent b="0" l="0" r="0" t="0"/>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762500" cy="238125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2</w:t>
      </w:r>
    </w:p>
    <w:p>
      <w:pPr>
        <w:jc w:val="center"/>
      </w:pPr>
      <w:r>
        <w:rPr>
          <w:sz w:val="25"/>
          <w:szCs w:val="25"/>
        </w:rPr>
        <w:t xml:space="preserve">בדיקות מערכת זיון התקרה נעשתה במספר מקומות. התקרה מזוהה כתקרת מקשית. עובי כיסוי הבטון כ- 2-3 ס"מ. עובי התקרה נטו 11-12 ס"מ.</w:t>
      </w:r>
    </w:p>
    <w:p>
      <w:pPr>
        <w:jc w:val="center"/>
      </w:pPr>
    </w:p>
    <w:p>
      <w:pPr>
        <w:jc w:val="center"/>
      </w:pPr>
      <w:r>
        <w:br w:type="page"/>
      </w:r>
      <w:r>
        <w:rPr>
          <w:b/>
          <w:bCs/>
          <w:u w:val="single"/>
          <w:sz w:val="35"/>
          <w:szCs w:val="35"/>
        </w:rPr>
        <w:t xml:space="preserve">קירות קומת 2</w:t>
      </w:r>
    </w:p>
    <w:p>
      <w:pPr>
        <w:jc w:val="center"/>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0z2m1ky3levak0myfmilx.png"/><Relationship Id="rId9" Type="http://schemas.openxmlformats.org/officeDocument/2006/relationships/image" Target="media/hi_n3nl6il3cbclfbuw_6.png"/><Relationship Id="rId10" Type="http://schemas.openxmlformats.org/officeDocument/2006/relationships/image" Target="media/7vp6pb4lwbizv0izfdqrw.png"/><Relationship Id="rId11" Type="http://schemas.openxmlformats.org/officeDocument/2006/relationships/image" Target="media/qv-8g02kumggnaxia_zlp.png"/><Relationship Id="rId12" Type="http://schemas.openxmlformats.org/officeDocument/2006/relationships/image" Target="media/quenq9u09l4pixot02ru0.png"/><Relationship Id="rId13" Type="http://schemas.openxmlformats.org/officeDocument/2006/relationships/image" Target="media/zmau9zmnjism0h1qgkkme.png"/><Relationship Id="rId14" Type="http://schemas.openxmlformats.org/officeDocument/2006/relationships/image" Target="media/7rznwgdzyfampvfumiqvw.png"/><Relationship Id="rId15" Type="http://schemas.openxmlformats.org/officeDocument/2006/relationships/image" Target="media/87v1jund5lbybqzxn5dmf.png"/><Relationship Id="rId16" Type="http://schemas.openxmlformats.org/officeDocument/2006/relationships/image" Target="media/gyfpd75h_s7bvs42_qwds.png"/><Relationship Id="rId17" Type="http://schemas.openxmlformats.org/officeDocument/2006/relationships/image" Target="media/8f4mofxfhdlpg0-5vk3xd.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2022-12-19T15:41:00.822Z</dcterms:created>
  <dcterms:modified xsi:type="dcterms:W3CDTF">2022-12-19T15:41:00.823Z</dcterms:modified>
</cp:coreProperties>
</file>

<file path=docProps/custom.xml><?xml version="1.0" encoding="utf-8"?>
<Properties xmlns="http://schemas.openxmlformats.org/officeDocument/2006/custom-properties" xmlns:vt="http://schemas.openxmlformats.org/officeDocument/2006/docPropsVTypes"/>
</file>