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c>
          <w:tcPr>
            <w:tcW w:type="dxa" w:w="5638"/>
            <w:tcBorders>
              <w:top w:val="none" w:color="FFFFFF" w:sz="0"/>
              <w:left w:val="none" w:color="FFFFFF" w:sz="0"/>
              <w:bottom w:val="none" w:color="FFFFFF" w:sz="0"/>
              <w:right w:val="none" w:color="FFFFFF" w:sz="0"/>
            </w:tcBorders>
            <w:tcMar>
              <w:top w:type="dxa" w:w="80"/>
              <w:left w:type="dxa" w:w="140"/>
              <w:bottom w:type="dxa" w:w="80"/>
              <w:right w:type="dxa" w:w="140"/>
            </w:tcMar>
          </w:tcPr>
          <w:p>
            <w:pPr>
              <w:spacing w:after="80" w:before="0"/>
            </w:pPr>
            <w:r>
              <w:drawing>
                <wp:inline distT="0" distB="0" distL="0" distR="0">
                  <wp:extent cx="2466975" cy="457200"/>
                  <wp:effectExtent t="0" r="0" b="0" l="0"/>
                  <wp:docPr id="1" name="logo" descr="SobhyDev logo" title="Sobhy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66975" cy="457200"/>
                          </a:xfrm>
                          <a:prstGeom prst="rect">
                            <a:avLst/>
                          </a:prstGeom>
                        </pic:spPr>
                      </pic:pic>
                    </a:graphicData>
                  </a:graphic>
                </wp:inline>
              </w:drawing>
            </w:r>
          </w:p>
          <w:p>
            <w:pPr>
              <w:spacing w:after="80" w:before="0"/>
            </w:pPr>
            <w:r>
              <w:rPr>
                <w:rFonts w:ascii="Roboto" w:cs="Roboto" w:eastAsia="Roboto" w:hAnsi="Roboto"/>
                <w:color w:val="6B7280"/>
                <w:sz w:val="20"/>
                <w:szCs w:val="20"/>
              </w:rPr>
              <w:t xml:space="preserve">sobhydesign@gmail.com</w:t>
            </w:r>
          </w:p>
        </w:tc>
        <w:tc>
          <w:tcPr>
            <w:tcW w:type="dxa" w:w="4000"/>
            <w:tcBorders>
              <w:top w:val="none" w:color="FFFFFF" w:sz="0"/>
              <w:left w:val="none" w:color="FFFFFF" w:sz="0"/>
              <w:bottom w:val="none" w:color="FFFFFF" w:sz="0"/>
              <w:right w:val="none" w:color="FFFFFF" w:sz="0"/>
            </w:tcBorders>
            <w:tcMar>
              <w:top w:type="dxa" w:w="80"/>
              <w:left w:type="dxa" w:w="140"/>
              <w:bottom w:type="dxa" w:w="80"/>
              <w:right w:type="dxa" w:w="140"/>
            </w:tcMar>
          </w:tcPr>
          <w:p>
            <w:pPr>
              <w:spacing w:after="20" w:before="0"/>
              <w:jc w:val="right"/>
            </w:pPr>
            <w:r>
              <w:rPr>
                <w:rFonts w:ascii="Montserrat" w:cs="Montserrat" w:eastAsia="Montserrat" w:hAnsi="Montserrat"/>
                <w:b/>
                <w:bCs/>
                <w:color w:val="101324"/>
                <w:sz w:val="36"/>
                <w:szCs w:val="36"/>
              </w:rPr>
              <w:t xml:space="preserve">QUOTATION</w:t>
            </w:r>
          </w:p>
          <w:p>
            <w:pPr>
              <w:spacing w:after="80" w:before="0"/>
              <w:jc w:val="right"/>
            </w:pPr>
            <w:r>
              <w:rPr>
                <w:rFonts w:ascii="Roboto" w:cs="Roboto" w:eastAsia="Roboto" w:hAnsi="Roboto"/>
                <w:color w:val="6B7280"/>
                <w:sz w:val="20"/>
                <w:szCs w:val="20"/>
              </w:rPr>
              <w:t xml:space="preserve">Quote no. </w:t>
            </w:r>
            <w:r>
              <w:rPr>
                <w:rFonts w:ascii="Roboto" w:cs="Roboto" w:eastAsia="Roboto" w:hAnsi="Roboto"/>
                <w:b/>
                <w:bCs/>
                <w:color w:val="333333"/>
                <w:sz w:val="20"/>
                <w:szCs w:val="20"/>
              </w:rPr>
              <w:t xml:space="preserve">DKD-CNC-001</w:t>
            </w:r>
          </w:p>
          <w:p>
            <w:pPr>
              <w:spacing w:after="80" w:before="0"/>
              <w:jc w:val="right"/>
            </w:pPr>
            <w:r>
              <w:rPr>
                <w:rFonts w:ascii="Roboto" w:cs="Roboto" w:eastAsia="Roboto" w:hAnsi="Roboto"/>
                <w:color w:val="6B7280"/>
                <w:sz w:val="20"/>
                <w:szCs w:val="20"/>
              </w:rPr>
              <w:t xml:space="preserve">Date: </w:t>
            </w:r>
            <w:r>
              <w:rPr>
                <w:rFonts w:ascii="Roboto" w:cs="Roboto" w:eastAsia="Roboto" w:hAnsi="Roboto"/>
                <w:color w:val="333333"/>
                <w:sz w:val="20"/>
                <w:szCs w:val="20"/>
              </w:rPr>
              <w:t xml:space="preserve">11 October 2026</w:t>
            </w:r>
          </w:p>
          <w:p>
            <w:pPr>
              <w:spacing w:after="80" w:before="0"/>
              <w:jc w:val="right"/>
            </w:pPr>
            <w:r>
              <w:rPr>
                <w:rFonts w:ascii="Roboto" w:cs="Roboto" w:eastAsia="Roboto" w:hAnsi="Roboto"/>
                <w:color w:val="6B7280"/>
                <w:sz w:val="20"/>
                <w:szCs w:val="20"/>
              </w:rPr>
              <w:t xml:space="preserve">Status: </w:t>
            </w:r>
            <w:r>
              <w:rPr>
                <w:rFonts w:ascii="Roboto" w:cs="Roboto" w:eastAsia="Roboto" w:hAnsi="Roboto"/>
                <w:color w:val="333333"/>
                <w:sz w:val="20"/>
                <w:szCs w:val="20"/>
              </w:rPr>
              <w:t xml:space="preserve">Delivered 11 October 2026</w:t>
            </w:r>
          </w:p>
        </w:tc>
      </w:tr>
    </w:tbl>
    <w:p>
      <w:pPr>
        <w:pBdr>
          <w:bottom w:val="single" w:color="EB8C33" w:sz="8" w:space="1"/>
        </w:pBdr>
        <w:spacing w:after="0" w:before="0"/>
      </w:pPr>
      <w:r>
        <w:rPr>
          <w:rFonts w:ascii="Roboto" w:cs="Roboto" w:eastAsia="Roboto" w:hAnsi="Roboto"/>
          <w:color w:val="333333"/>
          <w:sz w:val="20"/>
          <w:szCs w:val="20"/>
        </w:rPr>
        <w:t xml:space="preserve"/>
      </w:r>
    </w:p>
    <w:p>
      <w:pPr>
        <w:pBdr>
          <w:bottom w:val="single" w:color="E5E7EB" w:sz="4" w:space="4"/>
        </w:pBdr>
        <w:spacing w:after="80" w:before="160"/>
      </w:pPr>
      <w:r>
        <w:rPr>
          <w:rFonts w:ascii="Montserrat" w:cs="Montserrat" w:eastAsia="Montserrat" w:hAnsi="Montserrat"/>
          <w:b/>
          <w:bCs/>
          <w:color w:val="1F3A63"/>
          <w:sz w:val="18"/>
          <w:szCs w:val="18"/>
        </w:rPr>
        <w:t xml:space="preserve">PREPARED FOR</w:t>
      </w:r>
    </w:p>
    <w:p>
      <w:pPr>
        <w:spacing w:after="80" w:before="0"/>
      </w:pPr>
      <w:r>
        <w:rPr>
          <w:rFonts w:ascii="Roboto" w:cs="Roboto" w:eastAsia="Roboto" w:hAnsi="Roboto"/>
          <w:b/>
          <w:bCs/>
          <w:color w:val="333333"/>
          <w:sz w:val="20"/>
          <w:szCs w:val="20"/>
        </w:rPr>
        <w:t xml:space="preserve">Darkum Design</w:t>
      </w:r>
    </w:p>
    <w:p>
      <w:pPr>
        <w:spacing w:after="80" w:before="0"/>
      </w:pPr>
      <w:r>
        <w:rPr>
          <w:rFonts w:ascii="Roboto" w:cs="Roboto" w:eastAsia="Roboto" w:hAnsi="Roboto"/>
          <w:color w:val="333333"/>
          <w:sz w:val="20"/>
          <w:szCs w:val="20"/>
        </w:rPr>
        <w:t xml:space="preserve">Attn: Heba Farouk and Nourhan Osama</w:t>
      </w:r>
    </w:p>
    <w:p>
      <w:pPr>
        <w:spacing w:after="80" w:before="0"/>
      </w:pPr>
      <w:r>
        <w:rPr>
          <w:rFonts w:ascii="Roboto" w:cs="Roboto" w:eastAsia="Roboto" w:hAnsi="Roboto"/>
          <w:color w:val="6B7280"/>
          <w:sz w:val="20"/>
          <w:szCs w:val="20"/>
        </w:rPr>
        <w:t xml:space="preserve">Heliopolis, Cairo, Egypt</w:t>
      </w:r>
    </w:p>
    <w:p>
      <w:pPr>
        <w:pBdr>
          <w:bottom w:val="single" w:color="E5E7EB" w:sz="4" w:space="4"/>
        </w:pBdr>
        <w:spacing w:after="80" w:before="160"/>
      </w:pPr>
      <w:r>
        <w:rPr>
          <w:rFonts w:ascii="Montserrat" w:cs="Montserrat" w:eastAsia="Montserrat" w:hAnsi="Montserrat"/>
          <w:b/>
          <w:bCs/>
          <w:color w:val="1F3A63"/>
          <w:sz w:val="18"/>
          <w:szCs w:val="18"/>
        </w:rPr>
        <w:t xml:space="preserve">SCOPE</w:t>
      </w:r>
    </w:p>
    <w:p>
      <w:pPr>
        <w:spacing w:after="80" w:before="0"/>
      </w:pPr>
      <w:r>
        <w:rPr>
          <w:rFonts w:ascii="Roboto" w:cs="Roboto" w:eastAsia="Roboto" w:hAnsi="Roboto"/>
          <w:color w:val="333333"/>
          <w:sz w:val="20"/>
          <w:szCs w:val="20"/>
        </w:rPr>
        <w:t xml:space="preserve">CNC cutting files for decorative lattice panels, based on the reference image supplied on 11 October 2026. This work is separate from, and not included in, the website and branding package agreed on 16 August 2026.</w:t>
      </w:r>
    </w:p>
    <w:p>
      <w:pPr>
        <w:spacing w:after="0" w:before="0"/>
      </w:pPr>
      <w:r>
        <w:rPr>
          <w:rFonts w:ascii="Roboto" w:cs="Roboto" w:eastAsia="Roboto" w:hAnsi="Roboto"/>
          <w:color w:val="3333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38"/>
        <w:gridCol w:w="1200"/>
        <w:gridCol w:w="2400"/>
      </w:tblGrid>
      <w:tr>
        <w:tc>
          <w:tcPr>
            <w:tcW w:type="dxa" w:w="6038"/>
            <w:tcBorders>
              <w:top w:val="none" w:color="FFFFFF" w:sz="0"/>
              <w:left w:val="none" w:color="FFFFFF" w:sz="0"/>
              <w:bottom w:val="none" w:color="FFFFFF" w:sz="0"/>
              <w:right w:val="none" w:color="FFFFFF" w:sz="0"/>
            </w:tcBorders>
            <w:shd w:fill="101324" w:color="auto" w:val="clear"/>
            <w:tcMar>
              <w:top w:type="dxa" w:w="80"/>
              <w:left w:type="dxa" w:w="140"/>
              <w:bottom w:type="dxa" w:w="80"/>
              <w:right w:type="dxa" w:w="140"/>
            </w:tcMar>
          </w:tcPr>
          <w:p>
            <w:pPr>
              <w:spacing w:after="0" w:before="0"/>
              <w:jc w:val="left"/>
            </w:pPr>
            <w:r>
              <w:rPr>
                <w:rFonts w:ascii="Montserrat" w:cs="Montserrat" w:eastAsia="Montserrat" w:hAnsi="Montserrat"/>
                <w:b/>
                <w:bCs/>
                <w:color w:val="FFFFFF"/>
                <w:sz w:val="18"/>
                <w:szCs w:val="18"/>
              </w:rPr>
              <w:t xml:space="preserve">Description</w:t>
            </w:r>
          </w:p>
        </w:tc>
        <w:tc>
          <w:tcPr>
            <w:tcW w:type="dxa" w:w="1200"/>
            <w:tcBorders>
              <w:top w:val="none" w:color="FFFFFF" w:sz="0"/>
              <w:left w:val="none" w:color="FFFFFF" w:sz="0"/>
              <w:bottom w:val="none" w:color="FFFFFF" w:sz="0"/>
              <w:right w:val="none" w:color="FFFFFF" w:sz="0"/>
            </w:tcBorders>
            <w:shd w:fill="101324" w:color="auto" w:val="clear"/>
            <w:tcMar>
              <w:top w:type="dxa" w:w="80"/>
              <w:left w:type="dxa" w:w="140"/>
              <w:bottom w:type="dxa" w:w="80"/>
              <w:right w:type="dxa" w:w="140"/>
            </w:tcMar>
          </w:tcPr>
          <w:p>
            <w:pPr>
              <w:spacing w:after="0" w:before="0"/>
              <w:jc w:val="center"/>
            </w:pPr>
            <w:r>
              <w:rPr>
                <w:rFonts w:ascii="Montserrat" w:cs="Montserrat" w:eastAsia="Montserrat" w:hAnsi="Montserrat"/>
                <w:b/>
                <w:bCs/>
                <w:color w:val="FFFFFF"/>
                <w:sz w:val="18"/>
                <w:szCs w:val="18"/>
              </w:rPr>
              <w:t xml:space="preserve">Qty</w:t>
            </w:r>
          </w:p>
        </w:tc>
        <w:tc>
          <w:tcPr>
            <w:tcW w:type="dxa" w:w="2400"/>
            <w:tcBorders>
              <w:top w:val="none" w:color="FFFFFF" w:sz="0"/>
              <w:left w:val="none" w:color="FFFFFF" w:sz="0"/>
              <w:bottom w:val="none" w:color="FFFFFF" w:sz="0"/>
              <w:right w:val="none" w:color="FFFFFF" w:sz="0"/>
            </w:tcBorders>
            <w:shd w:fill="101324" w:color="auto" w:val="clear"/>
            <w:tcMar>
              <w:top w:type="dxa" w:w="80"/>
              <w:left w:type="dxa" w:w="140"/>
              <w:bottom w:type="dxa" w:w="80"/>
              <w:right w:type="dxa" w:w="140"/>
            </w:tcMar>
          </w:tcPr>
          <w:p>
            <w:pPr>
              <w:spacing w:after="0" w:before="0"/>
              <w:jc w:val="right"/>
            </w:pPr>
            <w:r>
              <w:rPr>
                <w:rFonts w:ascii="Montserrat" w:cs="Montserrat" w:eastAsia="Montserrat" w:hAnsi="Montserrat"/>
                <w:b/>
                <w:bCs/>
                <w:color w:val="FFFFFF"/>
                <w:sz w:val="18"/>
                <w:szCs w:val="18"/>
              </w:rPr>
              <w:t xml:space="preserve">Amount (EGP)</w:t>
            </w:r>
          </w:p>
        </w:tc>
      </w:tr>
      <w:tr>
        <w:tc>
          <w:tcPr>
            <w:tcW w:type="dxa" w:w="6038"/>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40" w:before="0"/>
            </w:pPr>
            <w:r>
              <w:rPr>
                <w:rFonts w:ascii="Roboto" w:cs="Roboto" w:eastAsia="Roboto" w:hAnsi="Roboto"/>
                <w:b/>
                <w:bCs/>
                <w:color w:val="333333"/>
                <w:sz w:val="20"/>
                <w:szCs w:val="20"/>
              </w:rPr>
              <w:t xml:space="preserve">Pattern reconstruction</w:t>
            </w:r>
          </w:p>
          <w:p>
            <w:pPr>
              <w:spacing w:after="0" w:before="0"/>
            </w:pPr>
            <w:r>
              <w:rPr>
                <w:rFonts w:ascii="Roboto" w:cs="Roboto" w:eastAsia="Roboto" w:hAnsi="Roboto"/>
                <w:color w:val="6B7280"/>
                <w:sz w:val="18"/>
                <w:szCs w:val="18"/>
              </w:rPr>
              <w:t xml:space="preserve">10-point star lattice rebuilt from the supplied reference image as straight-line, perfectly symmetric vector geometry, ready for CNC</w:t>
            </w:r>
          </w:p>
        </w:tc>
        <w:tc>
          <w:tcPr>
            <w:tcW w:type="dxa" w:w="1200"/>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0" w:before="0"/>
              <w:jc w:val="center"/>
            </w:pPr>
            <w:r>
              <w:rPr>
                <w:rFonts w:ascii="Roboto" w:cs="Roboto" w:eastAsia="Roboto" w:hAnsi="Roboto"/>
                <w:color w:val="333333"/>
                <w:sz w:val="20"/>
                <w:szCs w:val="20"/>
              </w:rPr>
              <w:t xml:space="preserve">1</w:t>
            </w:r>
          </w:p>
        </w:tc>
        <w:tc>
          <w:tcPr>
            <w:tcW w:type="dxa" w:w="2400"/>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0" w:before="0"/>
              <w:jc w:val="right"/>
            </w:pPr>
            <w:r>
              <w:rPr>
                <w:rFonts w:ascii="Roboto" w:cs="Roboto" w:eastAsia="Roboto" w:hAnsi="Roboto"/>
                <w:color w:val="333333"/>
                <w:sz w:val="20"/>
                <w:szCs w:val="20"/>
              </w:rPr>
              <w:t xml:space="preserve">1,000</w:t>
            </w:r>
          </w:p>
        </w:tc>
      </w:tr>
      <w:tr>
        <w:tc>
          <w:tcPr>
            <w:tcW w:type="dxa" w:w="6038"/>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40" w:before="0"/>
            </w:pPr>
            <w:r>
              <w:rPr>
                <w:rFonts w:ascii="Roboto" w:cs="Roboto" w:eastAsia="Roboto" w:hAnsi="Roboto"/>
                <w:b/>
                <w:bCs/>
                <w:color w:val="333333"/>
                <w:sz w:val="20"/>
                <w:szCs w:val="20"/>
              </w:rPr>
              <w:t xml:space="preserve">Production panel files</w:t>
            </w:r>
          </w:p>
          <w:p>
            <w:pPr>
              <w:spacing w:after="0" w:before="0"/>
            </w:pPr>
            <w:r>
              <w:rPr>
                <w:rFonts w:ascii="Roboto" w:cs="Roboto" w:eastAsia="Roboto" w:hAnsi="Roboto"/>
                <w:color w:val="6B7280"/>
                <w:sz w:val="18"/>
                <w:szCs w:val="18"/>
              </w:rPr>
              <w:t xml:space="preserve">20 x 90 cm (one column) and 50 x 90 cm (three columns), each as DXF, SVG and 1:1 scale PDF</w:t>
            </w:r>
          </w:p>
        </w:tc>
        <w:tc>
          <w:tcPr>
            <w:tcW w:type="dxa" w:w="1200"/>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0" w:before="0"/>
              <w:jc w:val="center"/>
            </w:pPr>
            <w:r>
              <w:rPr>
                <w:rFonts w:ascii="Roboto" w:cs="Roboto" w:eastAsia="Roboto" w:hAnsi="Roboto"/>
                <w:color w:val="333333"/>
                <w:sz w:val="20"/>
                <w:szCs w:val="20"/>
              </w:rPr>
              <w:t xml:space="preserve">2</w:t>
            </w:r>
          </w:p>
        </w:tc>
        <w:tc>
          <w:tcPr>
            <w:tcW w:type="dxa" w:w="2400"/>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0" w:before="0"/>
              <w:jc w:val="right"/>
            </w:pPr>
            <w:r>
              <w:rPr>
                <w:rFonts w:ascii="Roboto" w:cs="Roboto" w:eastAsia="Roboto" w:hAnsi="Roboto"/>
                <w:color w:val="333333"/>
                <w:sz w:val="20"/>
                <w:szCs w:val="20"/>
              </w:rPr>
              <w:t xml:space="preserve">600</w:t>
            </w:r>
          </w:p>
        </w:tc>
      </w:tr>
      <w:tr>
        <w:tc>
          <w:tcPr>
            <w:tcW w:type="dxa" w:w="6038"/>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40" w:before="0"/>
            </w:pPr>
            <w:r>
              <w:rPr>
                <w:rFonts w:ascii="Roboto" w:cs="Roboto" w:eastAsia="Roboto" w:hAnsi="Roboto"/>
                <w:b/>
                <w:bCs/>
                <w:color w:val="333333"/>
                <w:sz w:val="20"/>
                <w:szCs w:val="20"/>
              </w:rPr>
              <w:t xml:space="preserve">Rush delivery</w:t>
            </w:r>
          </w:p>
          <w:p>
            <w:pPr>
              <w:spacing w:after="0" w:before="0"/>
            </w:pPr>
            <w:r>
              <w:rPr>
                <w:rFonts w:ascii="Roboto" w:cs="Roboto" w:eastAsia="Roboto" w:hAnsi="Roboto"/>
                <w:color w:val="6B7280"/>
                <w:sz w:val="18"/>
                <w:szCs w:val="18"/>
              </w:rPr>
              <w:t xml:space="preserve">Same-day turnaround (+25%)</w:t>
            </w:r>
          </w:p>
        </w:tc>
        <w:tc>
          <w:tcPr>
            <w:tcW w:type="dxa" w:w="1200"/>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0" w:before="0"/>
              <w:jc w:val="center"/>
            </w:pPr>
            <w:r>
              <w:rPr>
                <w:rFonts w:ascii="Roboto" w:cs="Roboto" w:eastAsia="Roboto" w:hAnsi="Roboto"/>
                <w:color w:val="333333"/>
                <w:sz w:val="20"/>
                <w:szCs w:val="20"/>
              </w:rPr>
              <w:t xml:space="preserve"/>
            </w:r>
          </w:p>
        </w:tc>
        <w:tc>
          <w:tcPr>
            <w:tcW w:type="dxa" w:w="2400"/>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0" w:before="0"/>
              <w:jc w:val="right"/>
            </w:pPr>
            <w:r>
              <w:rPr>
                <w:rFonts w:ascii="Roboto" w:cs="Roboto" w:eastAsia="Roboto" w:hAnsi="Roboto"/>
                <w:color w:val="333333"/>
                <w:sz w:val="20"/>
                <w:szCs w:val="20"/>
              </w:rPr>
              <w:t xml:space="preserve">400</w:t>
            </w:r>
          </w:p>
        </w:tc>
      </w:tr>
      <w:tr>
        <w:tc>
          <w:tcPr>
            <w:tcW w:type="dxa" w:w="6038"/>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0" w:before="0"/>
            </w:pPr>
            <w:r>
              <w:rPr>
                <w:rFonts w:ascii="Roboto" w:cs="Roboto" w:eastAsia="Roboto" w:hAnsi="Roboto"/>
                <w:color w:val="333333"/>
                <w:sz w:val="20"/>
                <w:szCs w:val="20"/>
              </w:rPr>
              <w:t xml:space="preserve">Subtotal</w:t>
            </w:r>
          </w:p>
        </w:tc>
        <w:tc>
          <w:tcPr>
            <w:tcW w:type="dxa" w:w="1200"/>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0" w:before="0"/>
              <w:jc w:val="center"/>
            </w:pPr>
            <w:r>
              <w:rPr>
                <w:rFonts w:ascii="Roboto" w:cs="Roboto" w:eastAsia="Roboto" w:hAnsi="Roboto"/>
                <w:color w:val="333333"/>
                <w:sz w:val="20"/>
                <w:szCs w:val="20"/>
              </w:rPr>
              <w:t xml:space="preserve"/>
            </w:r>
          </w:p>
        </w:tc>
        <w:tc>
          <w:tcPr>
            <w:tcW w:type="dxa" w:w="2400"/>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0" w:before="0"/>
              <w:jc w:val="right"/>
            </w:pPr>
            <w:r>
              <w:rPr>
                <w:rFonts w:ascii="Roboto" w:cs="Roboto" w:eastAsia="Roboto" w:hAnsi="Roboto"/>
                <w:color w:val="333333"/>
                <w:sz w:val="20"/>
                <w:szCs w:val="20"/>
              </w:rPr>
              <w:t xml:space="preserve">2,000</w:t>
            </w:r>
          </w:p>
        </w:tc>
      </w:tr>
      <w:tr>
        <w:tc>
          <w:tcPr>
            <w:tcW w:type="dxa" w:w="6038"/>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0" w:before="0"/>
            </w:pPr>
            <w:r>
              <w:rPr>
                <w:rFonts w:ascii="Roboto" w:cs="Roboto" w:eastAsia="Roboto" w:hAnsi="Roboto"/>
                <w:color w:val="EB8C33"/>
                <w:sz w:val="20"/>
                <w:szCs w:val="20"/>
              </w:rPr>
              <w:t xml:space="preserve">First order welcome discount (100%)</w:t>
            </w:r>
          </w:p>
        </w:tc>
        <w:tc>
          <w:tcPr>
            <w:tcW w:type="dxa" w:w="1200"/>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0" w:before="0"/>
              <w:jc w:val="center"/>
            </w:pPr>
            <w:r>
              <w:rPr>
                <w:rFonts w:ascii="Roboto" w:cs="Roboto" w:eastAsia="Roboto" w:hAnsi="Roboto"/>
                <w:color w:val="EB8C33"/>
                <w:sz w:val="20"/>
                <w:szCs w:val="20"/>
              </w:rPr>
              <w:t xml:space="preserve"/>
            </w:r>
          </w:p>
        </w:tc>
        <w:tc>
          <w:tcPr>
            <w:tcW w:type="dxa" w:w="2400"/>
            <w:tcBorders>
              <w:top w:val="none" w:color="FFFFFF" w:sz="0"/>
              <w:left w:val="none" w:color="FFFFFF" w:sz="0"/>
              <w:bottom w:val="single" w:color="E5E7EB" w:sz="4"/>
              <w:right w:val="none" w:color="FFFFFF" w:sz="0"/>
            </w:tcBorders>
            <w:tcMar>
              <w:top w:type="dxa" w:w="80"/>
              <w:left w:type="dxa" w:w="140"/>
              <w:bottom w:type="dxa" w:w="80"/>
              <w:right w:type="dxa" w:w="140"/>
            </w:tcMar>
          </w:tcPr>
          <w:p>
            <w:pPr>
              <w:spacing w:after="0" w:before="0"/>
              <w:jc w:val="right"/>
            </w:pPr>
            <w:r>
              <w:rPr>
                <w:rFonts w:ascii="Roboto" w:cs="Roboto" w:eastAsia="Roboto" w:hAnsi="Roboto"/>
                <w:color w:val="EB8C33"/>
                <w:sz w:val="20"/>
                <w:szCs w:val="20"/>
              </w:rPr>
              <w:t xml:space="preserve">- 2,000</w:t>
            </w:r>
          </w:p>
        </w:tc>
      </w:tr>
      <w:tr>
        <w:tc>
          <w:tcPr>
            <w:tcW w:type="dxa" w:w="6038"/>
            <w:tcBorders>
              <w:top w:val="none" w:color="FFFFFF" w:sz="0"/>
              <w:left w:val="none" w:color="FFFFFF" w:sz="0"/>
              <w:bottom w:val="single" w:color="E5E7EB" w:sz="4"/>
              <w:right w:val="none" w:color="FFFFFF" w:sz="0"/>
            </w:tcBorders>
            <w:shd w:fill="F9FAFB" w:color="auto" w:val="clear"/>
            <w:tcMar>
              <w:top w:type="dxa" w:w="80"/>
              <w:left w:type="dxa" w:w="140"/>
              <w:bottom w:type="dxa" w:w="80"/>
              <w:right w:type="dxa" w:w="140"/>
            </w:tcMar>
          </w:tcPr>
          <w:p>
            <w:pPr>
              <w:spacing w:after="0" w:before="0"/>
            </w:pPr>
            <w:r>
              <w:rPr>
                <w:rFonts w:ascii="Roboto" w:cs="Roboto" w:eastAsia="Roboto" w:hAnsi="Roboto"/>
                <w:b/>
                <w:bCs/>
                <w:color w:val="101324"/>
                <w:sz w:val="20"/>
                <w:szCs w:val="20"/>
              </w:rPr>
              <w:t xml:space="preserve">Total</w:t>
            </w:r>
          </w:p>
        </w:tc>
        <w:tc>
          <w:tcPr>
            <w:tcW w:type="dxa" w:w="1200"/>
            <w:tcBorders>
              <w:top w:val="none" w:color="FFFFFF" w:sz="0"/>
              <w:left w:val="none" w:color="FFFFFF" w:sz="0"/>
              <w:bottom w:val="single" w:color="E5E7EB" w:sz="4"/>
              <w:right w:val="none" w:color="FFFFFF" w:sz="0"/>
            </w:tcBorders>
            <w:shd w:fill="F9FAFB" w:color="auto" w:val="clear"/>
            <w:tcMar>
              <w:top w:type="dxa" w:w="80"/>
              <w:left w:type="dxa" w:w="140"/>
              <w:bottom w:type="dxa" w:w="80"/>
              <w:right w:type="dxa" w:w="140"/>
            </w:tcMar>
          </w:tcPr>
          <w:p>
            <w:pPr>
              <w:spacing w:after="0" w:before="0"/>
              <w:jc w:val="center"/>
            </w:pPr>
            <w:r>
              <w:rPr>
                <w:rFonts w:ascii="Roboto" w:cs="Roboto" w:eastAsia="Roboto" w:hAnsi="Roboto"/>
                <w:color w:val="101324"/>
                <w:sz w:val="20"/>
                <w:szCs w:val="20"/>
              </w:rPr>
              <w:t xml:space="preserve"/>
            </w:r>
          </w:p>
        </w:tc>
        <w:tc>
          <w:tcPr>
            <w:tcW w:type="dxa" w:w="2400"/>
            <w:tcBorders>
              <w:top w:val="none" w:color="FFFFFF" w:sz="0"/>
              <w:left w:val="none" w:color="FFFFFF" w:sz="0"/>
              <w:bottom w:val="single" w:color="E5E7EB" w:sz="4"/>
              <w:right w:val="none" w:color="FFFFFF" w:sz="0"/>
            </w:tcBorders>
            <w:shd w:fill="F9FAFB" w:color="auto" w:val="clear"/>
            <w:tcMar>
              <w:top w:type="dxa" w:w="80"/>
              <w:left w:type="dxa" w:w="140"/>
              <w:bottom w:type="dxa" w:w="80"/>
              <w:right w:type="dxa" w:w="140"/>
            </w:tcMar>
          </w:tcPr>
          <w:p>
            <w:pPr>
              <w:spacing w:after="0" w:before="0"/>
              <w:jc w:val="right"/>
            </w:pPr>
            <w:r>
              <w:rPr>
                <w:rFonts w:ascii="Roboto" w:cs="Roboto" w:eastAsia="Roboto" w:hAnsi="Roboto"/>
                <w:b/>
                <w:bCs/>
                <w:color w:val="101324"/>
                <w:sz w:val="24"/>
                <w:szCs w:val="24"/>
              </w:rPr>
              <w:t xml:space="preserve">EGP 0</w:t>
            </w:r>
          </w:p>
        </w:tc>
      </w:tr>
    </w:tbl>
    <w:p>
      <w:pPr>
        <w:pBdr>
          <w:bottom w:val="single" w:color="E5E7EB" w:sz="4" w:space="4"/>
        </w:pBdr>
        <w:spacing w:after="80" w:before="160"/>
      </w:pPr>
      <w:r>
        <w:rPr>
          <w:rFonts w:ascii="Montserrat" w:cs="Montserrat" w:eastAsia="Montserrat" w:hAnsi="Montserrat"/>
          <w:b/>
          <w:bCs/>
          <w:color w:val="1F3A63"/>
          <w:sz w:val="18"/>
          <w:szCs w:val="18"/>
        </w:rPr>
        <w:t xml:space="preserve">WHAT'S INCLUDED</w:t>
      </w:r>
    </w:p>
    <w:p>
      <w:pPr>
        <w:pStyle w:val="ListParagraph"/>
        <w:numPr>
          <w:ilvl w:val="0"/>
          <w:numId w:val="2"/>
        </w:numPr>
        <w:spacing w:after="40" w:before="0"/>
      </w:pPr>
      <w:r>
        <w:rPr>
          <w:rFonts w:ascii="Roboto" w:cs="Roboto" w:eastAsia="Roboto" w:hAnsi="Roboto"/>
          <w:color w:val="333333"/>
          <w:sz w:val="20"/>
          <w:szCs w:val="20"/>
        </w:rPr>
        <w:t xml:space="preserve">Clean vector rebuild of the pattern, not an automatic trace, so every line is straight and every repeat is identical</w:t>
      </w:r>
    </w:p>
    <w:p>
      <w:pPr>
        <w:pStyle w:val="ListParagraph"/>
        <w:numPr>
          <w:ilvl w:val="0"/>
          <w:numId w:val="2"/>
        </w:numPr>
        <w:spacing w:after="40" w:before="0"/>
      </w:pPr>
      <w:r>
        <w:rPr>
          <w:rFonts w:ascii="Roboto" w:cs="Roboto" w:eastAsia="Roboto" w:hAnsi="Roboto"/>
          <w:color w:val="333333"/>
          <w:sz w:val="20"/>
          <w:szCs w:val="20"/>
        </w:rPr>
        <w:t xml:space="preserve">DXF files in millimeters, with the panel outline and the cutouts on separate layers, plus SVG and 1:1 PDF</w:t>
      </w:r>
    </w:p>
    <w:p>
      <w:pPr>
        <w:pStyle w:val="ListParagraph"/>
        <w:numPr>
          <w:ilvl w:val="0"/>
          <w:numId w:val="2"/>
        </w:numPr>
        <w:spacing w:after="40" w:before="0"/>
      </w:pPr>
      <w:r>
        <w:rPr>
          <w:rFonts w:ascii="Roboto" w:cs="Roboto" w:eastAsia="Roboto" w:hAnsi="Roboto"/>
          <w:color w:val="333333"/>
          <w:sz w:val="20"/>
          <w:szCs w:val="20"/>
        </w:rPr>
        <w:t xml:space="preserve">Cutouts too narrow for the cutting tool removed, so the files run cleanly on the machine</w:t>
      </w:r>
    </w:p>
    <w:p>
      <w:pPr>
        <w:pStyle w:val="ListParagraph"/>
        <w:numPr>
          <w:ilvl w:val="0"/>
          <w:numId w:val="2"/>
        </w:numPr>
        <w:spacing w:after="40" w:before="0"/>
      </w:pPr>
      <w:r>
        <w:rPr>
          <w:rFonts w:ascii="Roboto" w:cs="Roboto" w:eastAsia="Roboto" w:hAnsi="Roboto"/>
          <w:color w:val="333333"/>
          <w:sz w:val="20"/>
          <w:szCs w:val="20"/>
        </w:rPr>
        <w:t xml:space="preserve">Same-day delivery</w:t>
      </w:r>
    </w:p>
    <w:p>
      <w:pPr>
        <w:pBdr>
          <w:bottom w:val="single" w:color="E5E7EB" w:sz="4" w:space="4"/>
        </w:pBdr>
        <w:spacing w:after="80" w:before="160"/>
      </w:pPr>
      <w:r>
        <w:rPr>
          <w:rFonts w:ascii="Montserrat" w:cs="Montserrat" w:eastAsia="Montserrat" w:hAnsi="Montserrat"/>
          <w:b/>
          <w:bCs/>
          <w:color w:val="1F3A63"/>
          <w:sz w:val="18"/>
          <w:szCs w:val="18"/>
        </w:rPr>
        <w:t xml:space="preserve">NOT INCLUDED</w:t>
      </w:r>
    </w:p>
    <w:p>
      <w:pPr>
        <w:pStyle w:val="ListParagraph"/>
        <w:numPr>
          <w:ilvl w:val="0"/>
          <w:numId w:val="2"/>
        </w:numPr>
        <w:spacing w:after="40" w:before="0"/>
      </w:pPr>
      <w:r>
        <w:rPr>
          <w:rFonts w:ascii="Roboto" w:cs="Roboto" w:eastAsia="Roboto" w:hAnsi="Roboto"/>
          <w:color w:val="333333"/>
          <w:sz w:val="20"/>
          <w:szCs w:val="20"/>
        </w:rPr>
        <w:t xml:space="preserve">CNC machining, materials and finishing (paid directly to the workshop)</w:t>
      </w:r>
    </w:p>
    <w:p>
      <w:pPr>
        <w:pStyle w:val="ListParagraph"/>
        <w:numPr>
          <w:ilvl w:val="0"/>
          <w:numId w:val="2"/>
        </w:numPr>
        <w:spacing w:after="40" w:before="0"/>
      </w:pPr>
      <w:r>
        <w:rPr>
          <w:rFonts w:ascii="Roboto" w:cs="Roboto" w:eastAsia="Roboto" w:hAnsi="Roboto"/>
          <w:color w:val="333333"/>
          <w:sz w:val="20"/>
          <w:szCs w:val="20"/>
        </w:rPr>
        <w:t xml:space="preserve">New patterns or additional panel sizes (quoted separately, or covered by a monthly plan)</w:t>
      </w:r>
    </w:p>
    <w:p>
      <w:pPr>
        <w:pBdr>
          <w:bottom w:val="single" w:color="E5E7EB" w:sz="4" w:space="4"/>
        </w:pBdr>
        <w:spacing w:after="80" w:before="160"/>
      </w:pPr>
      <w:r>
        <w:rPr>
          <w:rFonts w:ascii="Montserrat" w:cs="Montserrat" w:eastAsia="Montserrat" w:hAnsi="Montserrat"/>
          <w:b/>
          <w:bCs/>
          <w:color w:val="1F3A63"/>
          <w:sz w:val="18"/>
          <w:szCs w:val="18"/>
        </w:rPr>
        <w:t xml:space="preserve">FUTURE ORDERS</w:t>
      </w:r>
    </w:p>
    <w:p>
      <w:pPr>
        <w:pStyle w:val="ListParagraph"/>
        <w:numPr>
          <w:ilvl w:val="0"/>
          <w:numId w:val="2"/>
        </w:numPr>
        <w:spacing w:after="40" w:before="0"/>
      </w:pPr>
      <w:r>
        <w:rPr>
          <w:rFonts w:ascii="Roboto" w:cs="Roboto" w:eastAsia="Roboto" w:hAnsi="Roboto"/>
          <w:b/>
          <w:bCs/>
          <w:color w:val="333333"/>
          <w:sz w:val="20"/>
          <w:szCs w:val="20"/>
        </w:rPr>
        <w:t xml:space="preserve">Each job: </w:t>
      </w:r>
      <w:r>
        <w:rPr>
          <w:rFonts w:ascii="Roboto" w:cs="Roboto" w:eastAsia="Roboto" w:hAnsi="Roboto"/>
          <w:color w:val="333333"/>
          <w:sz w:val="20"/>
          <w:szCs w:val="20"/>
        </w:rPr>
        <w:t xml:space="preserve">quoted per job, with a minimum charge of EGP 500</w:t>
      </w:r>
    </w:p>
    <w:p>
      <w:pPr>
        <w:pStyle w:val="ListParagraph"/>
        <w:numPr>
          <w:ilvl w:val="0"/>
          <w:numId w:val="2"/>
        </w:numPr>
        <w:spacing w:after="40" w:before="0"/>
      </w:pPr>
      <w:r>
        <w:rPr>
          <w:rFonts w:ascii="Roboto" w:cs="Roboto" w:eastAsia="Roboto" w:hAnsi="Roboto"/>
          <w:b/>
          <w:bCs/>
          <w:color w:val="333333"/>
          <w:sz w:val="20"/>
          <w:szCs w:val="20"/>
        </w:rPr>
        <w:t xml:space="preserve">Rush delivery: </w:t>
      </w:r>
      <w:r>
        <w:rPr>
          <w:rFonts w:ascii="Roboto" w:cs="Roboto" w:eastAsia="Roboto" w:hAnsi="Roboto"/>
          <w:color w:val="333333"/>
          <w:sz w:val="20"/>
          <w:szCs w:val="20"/>
        </w:rPr>
        <w:t xml:space="preserve">+25% for same-day turnaround</w:t>
      </w:r>
    </w:p>
    <w:p>
      <w:pPr>
        <w:pStyle w:val="ListParagraph"/>
        <w:numPr>
          <w:ilvl w:val="0"/>
          <w:numId w:val="2"/>
        </w:numPr>
        <w:spacing w:after="40" w:before="0"/>
      </w:pPr>
      <w:r>
        <w:rPr>
          <w:rFonts w:ascii="Roboto" w:cs="Roboto" w:eastAsia="Roboto" w:hAnsi="Roboto"/>
          <w:b/>
          <w:bCs/>
          <w:color w:val="333333"/>
          <w:sz w:val="20"/>
          <w:szCs w:val="20"/>
        </w:rPr>
        <w:t xml:space="preserve">Monthly plan: </w:t>
      </w:r>
      <w:r>
        <w:rPr>
          <w:rFonts w:ascii="Roboto" w:cs="Roboto" w:eastAsia="Roboto" w:hAnsi="Roboto"/>
          <w:color w:val="333333"/>
          <w:sz w:val="20"/>
          <w:szCs w:val="20"/>
        </w:rPr>
        <w:t xml:space="preserve">for regular orders, a monthly plan covers your CNC files and mockups at a lower cost per job, with priority turnaround. Ask for details.</w:t>
      </w:r>
    </w:p>
    <w:p>
      <w:pPr>
        <w:spacing w:after="80" w:before="240"/>
        <w:jc w:val="center"/>
      </w:pPr>
      <w:r>
        <w:rPr>
          <w:rFonts w:ascii="Roboto" w:cs="Roboto" w:eastAsia="Roboto" w:hAnsi="Roboto"/>
          <w:i/>
          <w:iCs/>
          <w:color w:val="6B7280"/>
          <w:sz w:val="20"/>
          <w:szCs w:val="20"/>
        </w:rPr>
        <w:t xml:space="preserve">This first order is complimentary, as a welcome. Thank you for your continued trust.</w:t>
      </w:r>
    </w:p>
    <w:sectPr>
      <w:pgSz w:w="11906" w:h="16838" w:orient="portrait"/>
      <w:pgMar w:top="85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97ef06580a4968eacf4200515fb659b64a661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2026-10-12T01:40:52.193Z</dcterms:created>
  <dcterms:modified xsi:type="dcterms:W3CDTF">2026-10-12T01:40:52.203Z</dcterms:modified>
</cp:coreProperties>
</file>

<file path=docProps/custom.xml><?xml version="1.0" encoding="utf-8"?>
<Properties xmlns="http://schemas.openxmlformats.org/officeDocument/2006/custom-properties" xmlns:vt="http://schemas.openxmlformats.org/officeDocument/2006/docPropsVTypes"/>
</file>