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final - TP1</w:t>
      </w:r>
    </w:p>
    <w:p>
      <w:pPr>
        <w:jc w:val="center"/>
      </w:pPr>
      <w:r>
        <w:rPr>
          <w:b/>
          <w:sz w:val="24"/>
        </w:rPr>
        <w:t>Communication ESP32 - Node-RED : HTTP/REST et MQTT</w:t>
      </w:r>
    </w:p>
    <w:p>
      <w:pPr>
        <w:spacing w:after="100" w:line="240" w:lineRule="auto"/>
        <w:jc w:val="both"/>
      </w:pPr>
      <w:r>
        <w:rPr>
          <w:i/>
        </w:rPr>
        <w:t>Objectif : mettre en place deux méthodes de communication entre un ESP32 et Node-RED, comparer leur fonctionnement et valider l’échange de données capteurs ainsi que la commande d’une sortie.</w:t>
      </w:r>
    </w:p>
    <w:p>
      <w:pPr>
        <w:pStyle w:val="Heading1"/>
        <w:spacing w:before="100" w:after="40"/>
      </w:pPr>
      <w:r>
        <w:t>1. Configuration générale du système</w:t>
      </w:r>
    </w:p>
    <w:p>
      <w:pPr>
        <w:spacing w:after="50" w:line="240" w:lineRule="auto"/>
      </w:pPr>
      <w:r>
        <w:rPr>
          <w:i w:val="0"/>
        </w:rPr>
        <w:t>Le montage repose sur un ESP32 connecté au réseau Wi-Fi, un capteur DHT11 pour la température et l’humidité, une LED utilisée comme sortie de commande, et un PC exécutant Node-RED. Le développement de l’ESP32 a été réalisé sous Visual Studio Code avec PlatformIO. PlatformIO fournit un environnement de développement comparable à l’Arduino IDE, tout en offrant une gestion plus complète des projets, des dépendances et des bibliothèques, qui peuvent être modifiées si nécessaire.</w:t>
      </w:r>
    </w:p>
    <w:p>
      <w:pPr>
        <w:spacing w:after="50" w:line="240" w:lineRule="auto"/>
      </w:pPr>
      <w:r>
        <w:rPr>
          <w:i w:val="0"/>
        </w:rPr>
        <w:t>Côté PC, Node-RED reçoit les données de l’ESP32 et les affiche sur un dashboard. Le flow fourni contient deux flux distincts : un flux HTTP/REST et un flux MQTT. Le broker MQTT utilisé est Mosquitto, configuré sur le port 1883.</w:t>
      </w:r>
    </w:p>
    <w:tbl>
      <w:tblPr>
        <w:tblStyle w:val="TableGrid"/>
        <w:tblW w:type="auto" w:w="0"/>
        <w:jc w:val="center"/>
        <w:tblLook w:firstColumn="1" w:firstRow="1" w:lastColumn="0" w:lastRow="0" w:noHBand="0" w:noVBand="1" w:val="04A0"/>
      </w:tblPr>
      <w:tblGrid>
        <w:gridCol w:w="5241"/>
        <w:gridCol w:w="5241"/>
      </w:tblGrid>
      <w:tr>
        <w:tc>
          <w:tcPr>
            <w:tcW w:type="dxa" w:w="5241"/>
            <w:shd w:fill="D9EAF7"/>
          </w:tcPr>
          <w:p>
            <w:r>
              <w:t>Élément</w:t>
            </w:r>
          </w:p>
        </w:tc>
        <w:tc>
          <w:tcPr>
            <w:tcW w:type="dxa" w:w="5241"/>
            <w:shd w:fill="D9EAF7"/>
          </w:tcPr>
          <w:p>
            <w:r>
              <w:t>Configuration principale</w:t>
            </w:r>
          </w:p>
        </w:tc>
      </w:tr>
      <w:tr>
        <w:tc>
          <w:tcPr>
            <w:tcW w:type="dxa" w:w="5241"/>
            <w:tcMar>
              <w:top w:w="50" w:type="dxa"/>
              <w:start w:w="70" w:type="dxa"/>
              <w:bottom w:w="50" w:type="dxa"/>
              <w:end w:w="70" w:type="dxa"/>
            </w:tcMar>
          </w:tcPr>
          <w:p>
            <w:r>
              <w:t>ESP32</w:t>
            </w:r>
          </w:p>
        </w:tc>
        <w:tc>
          <w:tcPr>
            <w:tcW w:type="dxa" w:w="5241"/>
            <w:tcMar>
              <w:top w:w="50" w:type="dxa"/>
              <w:start w:w="70" w:type="dxa"/>
              <w:bottom w:w="50" w:type="dxa"/>
              <w:end w:w="70" w:type="dxa"/>
            </w:tcMar>
          </w:tcPr>
          <w:p>
            <w:r>
              <w:t>Connexion Wi-Fi + lecture DHT11 + commande LED</w:t>
            </w:r>
          </w:p>
        </w:tc>
      </w:tr>
      <w:tr>
        <w:tc>
          <w:tcPr>
            <w:tcW w:type="dxa" w:w="5241"/>
            <w:tcMar>
              <w:top w:w="50" w:type="dxa"/>
              <w:start w:w="70" w:type="dxa"/>
              <w:bottom w:w="50" w:type="dxa"/>
              <w:end w:w="70" w:type="dxa"/>
            </w:tcMar>
          </w:tcPr>
          <w:p>
            <w:r>
              <w:t>Node-RED</w:t>
            </w:r>
          </w:p>
        </w:tc>
        <w:tc>
          <w:tcPr>
            <w:tcW w:type="dxa" w:w="5241"/>
            <w:tcMar>
              <w:top w:w="50" w:type="dxa"/>
              <w:start w:w="70" w:type="dxa"/>
              <w:bottom w:w="50" w:type="dxa"/>
              <w:end w:w="70" w:type="dxa"/>
            </w:tcMar>
          </w:tcPr>
          <w:p>
            <w:r>
              <w:t>Réception, traitement et affichage des données</w:t>
            </w:r>
          </w:p>
        </w:tc>
      </w:tr>
      <w:tr>
        <w:tc>
          <w:tcPr>
            <w:tcW w:type="dxa" w:w="5241"/>
            <w:tcMar>
              <w:top w:w="50" w:type="dxa"/>
              <w:start w:w="70" w:type="dxa"/>
              <w:bottom w:w="50" w:type="dxa"/>
              <w:end w:w="70" w:type="dxa"/>
            </w:tcMar>
          </w:tcPr>
          <w:p>
            <w:r>
              <w:t>HTTP/REST</w:t>
            </w:r>
          </w:p>
        </w:tc>
        <w:tc>
          <w:tcPr>
            <w:tcW w:type="dxa" w:w="5241"/>
            <w:tcMar>
              <w:top w:w="50" w:type="dxa"/>
              <w:start w:w="70" w:type="dxa"/>
              <w:bottom w:w="50" w:type="dxa"/>
              <w:end w:w="70" w:type="dxa"/>
            </w:tcMar>
          </w:tcPr>
          <w:p>
            <w:r>
              <w:t>POST /donnes et GET /button</w:t>
            </w:r>
          </w:p>
        </w:tc>
      </w:tr>
      <w:tr>
        <w:tc>
          <w:tcPr>
            <w:tcW w:type="dxa" w:w="5241"/>
            <w:tcMar>
              <w:top w:w="50" w:type="dxa"/>
              <w:start w:w="70" w:type="dxa"/>
              <w:bottom w:w="50" w:type="dxa"/>
              <w:end w:w="70" w:type="dxa"/>
            </w:tcMar>
          </w:tcPr>
          <w:p>
            <w:r>
              <w:t>MQTT</w:t>
            </w:r>
          </w:p>
        </w:tc>
        <w:tc>
          <w:tcPr>
            <w:tcW w:type="dxa" w:w="5241"/>
            <w:tcMar>
              <w:top w:w="50" w:type="dxa"/>
              <w:start w:w="70" w:type="dxa"/>
              <w:bottom w:w="50" w:type="dxa"/>
              <w:end w:w="70" w:type="dxa"/>
            </w:tcMar>
          </w:tcPr>
          <w:p>
            <w:r>
              <w:t>Broker Mosquitto : localhost:1883 ; topics esp32/temperature, esp32/humidity et esp32/output</w:t>
            </w:r>
          </w:p>
        </w:tc>
      </w:tr>
    </w:tbl>
    <w:p>
      <w:pPr>
        <w:spacing w:after="20"/>
      </w:pPr>
    </w:p>
    <w:tbl>
      <w:tblPr>
        <w:tblW w:type="auto" w:w="0"/>
        <w:jc w:val="center"/>
        <w:tblLook w:firstColumn="1" w:firstRow="1" w:lastColumn="0" w:lastRow="0" w:noHBand="0" w:noVBand="1" w:val="04A0"/>
      </w:tblPr>
      <w:tblGrid>
        <w:gridCol w:w="10482"/>
      </w:tblGrid>
      <w:tr>
        <w:tc>
          <w:tcPr>
            <w:tcW w:type="dxa" w:w="9354"/>
            <w:vAlign w:val="center"/>
            <w:shd w:fill="F7F7F7"/>
            <w:tcMar>
              <w:top w:w="100" w:type="dxa"/>
              <w:start w:w="100" w:type="dxa"/>
              <w:bottom w:w="100" w:type="dxa"/>
              <w:end w:w="100" w:type="dxa"/>
            </w:tcMar>
            <w:tcBorders>
              <w:top w:val="single" w:sz="6" w:color="B7B7B7"/>
              <w:left w:val="single" w:sz="6" w:color="B7B7B7"/>
              <w:bottom w:val="single" w:sz="6" w:color="B7B7B7"/>
              <w:right w:val="single" w:sz="6" w:color="B7B7B7"/>
            </w:tcBorders>
          </w:tcPr>
          <w:p>
            <w:pPr>
              <w:jc w:val="center"/>
            </w:pPr>
            <w:r>
              <w:rPr>
                <w:i/>
                <w:sz w:val="18"/>
              </w:rPr>
              <w:t>Figure 1 - Vue générale du montage / dashboard Node-RED</w:t>
              <w:br/>
              <w:t>[Capture à insérer]</w:t>
            </w:r>
          </w:p>
        </w:tc>
      </w:tr>
    </w:tbl>
    <w:p>
      <w:pPr>
        <w:spacing w:after="20"/>
      </w:pPr>
    </w:p>
    <w:p>
      <w:pPr>
        <w:pStyle w:val="Heading1"/>
        <w:spacing w:before="100" w:after="40"/>
      </w:pPr>
      <w:r>
        <w:t>2. Méthode 1 - HTTP/REST</w:t>
      </w:r>
    </w:p>
    <w:p>
      <w:pPr>
        <w:spacing w:after="50" w:line="240" w:lineRule="auto"/>
      </w:pPr>
      <w:r>
        <w:rPr>
          <w:i w:val="0"/>
        </w:rPr>
        <w:t>Dans cette méthode, l’ESP32 joue le rôle de client HTTP et Node-RED fournit des points d’accès. L’échange est basé sur des requêtes ponctuelles : l’ESP32 envoie les mesures lorsqu’il effectue un POST et interroge Node-RED lorsqu’il effectue un GET.</w:t>
      </w:r>
    </w:p>
    <w:p>
      <w:pPr>
        <w:pStyle w:val="Heading2"/>
        <w:spacing w:before="100" w:after="40"/>
      </w:pPr>
      <w:r>
        <w:t>2.1 Envoi des mesures par POST</w:t>
      </w:r>
    </w:p>
    <w:p>
      <w:pPr>
        <w:spacing w:after="50" w:line="240" w:lineRule="auto"/>
      </w:pPr>
      <w:r>
        <w:rPr>
          <w:i w:val="0"/>
        </w:rPr>
        <w:t>Le flow Node-RED définit une entrée HTTP en méthode POST sur la route /donnes. Les valeurs reçues sont ensuite séparées : temp est utilisée pour le graphique de température, hum pour le graphique d’humidité et compteur pour le graphique du compteur. Une réponse HTTP 200 est renvoyée à l’ESP32 pour confirmer la bonne réception.</w:t>
      </w:r>
    </w:p>
    <w:p>
      <w:pPr>
        <w:pStyle w:val="Heading2"/>
        <w:spacing w:before="100" w:after="40"/>
      </w:pPr>
      <w:r>
        <w:t>2.2 Lecture de l’état de la LED par GET</w:t>
      </w:r>
    </w:p>
    <w:p>
      <w:pPr>
        <w:spacing w:after="50" w:line="240" w:lineRule="auto"/>
      </w:pPr>
      <w:r>
        <w:rPr>
          <w:i w:val="0"/>
        </w:rPr>
        <w:t>Le dashboard contient un interrupteur qui mémorise l’état de la LED dans la variable de flow etatLED. L’ESP32 interroge ensuite la route GET /button. Node-RED lit etatLED, le convertit en chaîne de caractères puis renvoie la valeur dans la réponse HTTP.</w:t>
      </w:r>
    </w:p>
    <w:tbl>
      <w:tblPr>
        <w:tblW w:type="auto" w:w="0"/>
        <w:jc w:val="center"/>
        <w:tblLook w:firstColumn="1" w:firstRow="1" w:lastColumn="0" w:lastRow="0" w:noHBand="0" w:noVBand="1" w:val="04A0"/>
      </w:tblPr>
      <w:tblGrid>
        <w:gridCol w:w="10482"/>
      </w:tblGrid>
      <w:tr>
        <w:tc>
          <w:tcPr>
            <w:tcW w:type="dxa" w:w="9354"/>
            <w:vAlign w:val="center"/>
            <w:shd w:fill="F7F7F7"/>
            <w:tcMar>
              <w:top w:w="100" w:type="dxa"/>
              <w:start w:w="100" w:type="dxa"/>
              <w:bottom w:w="100" w:type="dxa"/>
              <w:end w:w="100" w:type="dxa"/>
            </w:tcMar>
            <w:tcBorders>
              <w:top w:val="single" w:sz="6" w:color="B7B7B7"/>
              <w:left w:val="single" w:sz="6" w:color="B7B7B7"/>
              <w:bottom w:val="single" w:sz="6" w:color="B7B7B7"/>
              <w:right w:val="single" w:sz="6" w:color="B7B7B7"/>
            </w:tcBorders>
          </w:tcPr>
          <w:p>
            <w:pPr>
              <w:jc w:val="center"/>
            </w:pPr>
            <w:r>
              <w:rPr>
                <w:i/>
                <w:sz w:val="18"/>
              </w:rPr>
              <w:t>Figure 2 - Flow Node-RED HTTP/REST (POST + GET)</w:t>
              <w:br/>
              <w:t>[Capture à insérer]</w:t>
            </w:r>
          </w:p>
        </w:tc>
      </w:tr>
    </w:tbl>
    <w:p>
      <w:pPr>
        <w:spacing w:after="20"/>
      </w:pPr>
    </w:p>
    <w:p>
      <w:pPr>
        <w:pStyle w:val="Heading2"/>
        <w:spacing w:before="100" w:after="40"/>
      </w:pPr>
      <w:r>
        <w:t>2.3 Résultats et analyse</w:t>
      </w:r>
    </w:p>
    <w:p>
      <w:pPr>
        <w:spacing w:after="50" w:line="240" w:lineRule="auto"/>
      </w:pPr>
      <w:r>
        <w:rPr>
          <w:i w:val="0"/>
        </w:rPr>
        <w:t>Les essais permettent de valider les deux sens de communication : ESP32 → Node-RED pour les mesures, puis Node-RED → ESP32 pour la commande de la LED. Cette solution est simple à comprendre et à tester car chaque échange correspond à une requête clairement identifiable. En revanche, pour connaître une nouvelle commande, l’ESP32 doit effectuer régulièrement un GET : il s’agit donc d’un fonctionnement par interrogation périodique (polling), qui génère des requêtes même lorsque l’état ne change pas.</w:t>
      </w:r>
    </w:p>
    <w:p>
      <w:pPr>
        <w:pStyle w:val="Heading1"/>
        <w:spacing w:before="100" w:after="40"/>
      </w:pPr>
      <w:r>
        <w:t>3. Méthode 2 - MQTT avec Mosquitto</w:t>
      </w:r>
    </w:p>
    <w:p>
      <w:pPr>
        <w:spacing w:after="50" w:line="240" w:lineRule="auto"/>
      </w:pPr>
      <w:r>
        <w:rPr>
          <w:i w:val="0"/>
        </w:rPr>
        <w:t>MQTT repose sur un modèle publication/abonnement. Les équipements ne communiquent pas directement entre eux : ils échangent les messages par l’intermédiaire du broker Mosquitto. Dans le flow, le broker est configuré sur localhost, port 1883.</w:t>
      </w:r>
    </w:p>
    <w:p>
      <w:pPr>
        <w:spacing w:after="50" w:line="240" w:lineRule="auto"/>
      </w:pPr>
      <w:r>
        <w:rPr>
          <w:i w:val="0"/>
        </w:rPr>
        <w:t>L’ESP32 publie les mesures sur les topics esp32/temperature et esp32/humidity. Node-RED est abonné à ces deux topics et envoie les valeurs vers les graphiques du dashboard. Les graphiques correspondants sont identifiés dans le flow comme « Temperature Mqtt » et « Humiditer Mqtt ».</w:t>
      </w:r>
    </w:p>
    <w:p>
      <w:pPr>
        <w:spacing w:after="50" w:line="240" w:lineRule="auto"/>
      </w:pPr>
      <w:r>
        <w:rPr>
          <w:i w:val="0"/>
        </w:rPr>
        <w:t>Pour la commande de la LED, l’interrupteur du dashboard publie directement son état sur le topic esp32/output. L’ESP32 reste abonné à ce topic et peut donc réagir lorsqu’un nouveau message est publié, sans devoir interroger en permanence le serveur.</w:t>
      </w:r>
    </w:p>
    <w:tbl>
      <w:tblPr>
        <w:tblW w:type="auto" w:w="0"/>
        <w:jc w:val="center"/>
        <w:tblLook w:firstColumn="1" w:firstRow="1" w:lastColumn="0" w:lastRow="0" w:noHBand="0" w:noVBand="1" w:val="04A0"/>
      </w:tblPr>
      <w:tblGrid>
        <w:gridCol w:w="10482"/>
      </w:tblGrid>
      <w:tr>
        <w:tc>
          <w:tcPr>
            <w:tcW w:type="dxa" w:w="9354"/>
            <w:vAlign w:val="center"/>
            <w:shd w:fill="F7F7F7"/>
            <w:tcMar>
              <w:top w:w="100" w:type="dxa"/>
              <w:start w:w="100" w:type="dxa"/>
              <w:bottom w:w="100" w:type="dxa"/>
              <w:end w:w="100" w:type="dxa"/>
            </w:tcMar>
            <w:tcBorders>
              <w:top w:val="single" w:sz="6" w:color="B7B7B7"/>
              <w:left w:val="single" w:sz="6" w:color="B7B7B7"/>
              <w:bottom w:val="single" w:sz="6" w:color="B7B7B7"/>
              <w:right w:val="single" w:sz="6" w:color="B7B7B7"/>
            </w:tcBorders>
          </w:tcPr>
          <w:p>
            <w:pPr>
              <w:jc w:val="center"/>
            </w:pPr>
            <w:r>
              <w:rPr>
                <w:i/>
                <w:sz w:val="18"/>
              </w:rPr>
              <w:t>Figure 3 - Flow Node-RED MQTT / Mosquitto et résultats dashboard</w:t>
              <w:br/>
              <w:t>[Capture à insérer]</w:t>
            </w:r>
          </w:p>
        </w:tc>
      </w:tr>
    </w:tbl>
    <w:p>
      <w:pPr>
        <w:spacing w:after="20"/>
      </w:pPr>
    </w:p>
    <w:p>
      <w:pPr>
        <w:pStyle w:val="Heading2"/>
        <w:spacing w:before="100" w:after="40"/>
      </w:pPr>
      <w:r>
        <w:t>3.1 Résultats et analyse</w:t>
      </w:r>
    </w:p>
    <w:p>
      <w:pPr>
        <w:spacing w:after="50" w:line="240" w:lineRule="auto"/>
      </w:pPr>
      <w:r>
        <w:rPr>
          <w:i w:val="0"/>
        </w:rPr>
        <w:t>Cette méthode permet également de transmettre les mesures et de commander la sortie. Elle est particulièrement adaptée aux échanges fréquents ou événementiels : les données sont publiées sur un topic et tous les abonnés intéressés peuvent les recevoir. La présence du broker ajoute une étape de configuration, mais découple fortement les différents équipements et facilite l’ajout ultérieur de nouveaux capteurs ou clients.</w:t>
      </w:r>
    </w:p>
    <w:p>
      <w:pPr>
        <w:pStyle w:val="Heading1"/>
        <w:spacing w:before="100" w:after="40"/>
      </w:pPr>
      <w:r>
        <w:t>4. Comparaison des deux méthodes</w:t>
      </w:r>
    </w:p>
    <w:tbl>
      <w:tblPr>
        <w:tblStyle w:val="TableGrid"/>
        <w:tblW w:type="auto" w:w="0"/>
        <w:jc w:val="center"/>
        <w:tblLook w:firstColumn="1" w:firstRow="1" w:lastColumn="0" w:lastRow="0" w:noHBand="0" w:noVBand="1" w:val="04A0"/>
      </w:tblPr>
      <w:tblGrid>
        <w:gridCol w:w="3494"/>
        <w:gridCol w:w="3494"/>
        <w:gridCol w:w="3494"/>
      </w:tblGrid>
      <w:tr>
        <w:tc>
          <w:tcPr>
            <w:tcW w:type="dxa" w:w="3494"/>
            <w:shd w:fill="D9EAF7"/>
          </w:tcPr>
          <w:p>
            <w:r>
              <w:t>Critère</w:t>
            </w:r>
          </w:p>
        </w:tc>
        <w:tc>
          <w:tcPr>
            <w:tcW w:type="dxa" w:w="3494"/>
            <w:shd w:fill="D9EAF7"/>
          </w:tcPr>
          <w:p>
            <w:r>
              <w:t>HTTP/REST</w:t>
            </w:r>
          </w:p>
        </w:tc>
        <w:tc>
          <w:tcPr>
            <w:tcW w:type="dxa" w:w="3494"/>
            <w:shd w:fill="D9EAF7"/>
          </w:tcPr>
          <w:p>
            <w:r>
              <w:t>MQTT</w:t>
            </w:r>
          </w:p>
        </w:tc>
      </w:tr>
      <w:tr>
        <w:tc>
          <w:tcPr>
            <w:tcW w:type="dxa" w:w="3494"/>
            <w:tcMar>
              <w:top w:w="45" w:type="dxa"/>
              <w:start w:w="55" w:type="dxa"/>
              <w:bottom w:w="45" w:type="dxa"/>
              <w:end w:w="55" w:type="dxa"/>
            </w:tcMar>
          </w:tcPr>
          <w:p>
            <w:r>
              <w:t>Principe</w:t>
            </w:r>
          </w:p>
        </w:tc>
        <w:tc>
          <w:tcPr>
            <w:tcW w:type="dxa" w:w="3494"/>
            <w:tcMar>
              <w:top w:w="45" w:type="dxa"/>
              <w:start w:w="55" w:type="dxa"/>
              <w:bottom w:w="45" w:type="dxa"/>
              <w:end w:w="55" w:type="dxa"/>
            </w:tcMar>
          </w:tcPr>
          <w:p>
            <w:r>
              <w:t>Requête / réponse</w:t>
            </w:r>
          </w:p>
        </w:tc>
        <w:tc>
          <w:tcPr>
            <w:tcW w:type="dxa" w:w="3494"/>
            <w:tcMar>
              <w:top w:w="45" w:type="dxa"/>
              <w:start w:w="55" w:type="dxa"/>
              <w:bottom w:w="45" w:type="dxa"/>
              <w:end w:w="55" w:type="dxa"/>
            </w:tcMar>
          </w:tcPr>
          <w:p>
            <w:r>
              <w:t>Publication / abonnement</w:t>
            </w:r>
          </w:p>
        </w:tc>
      </w:tr>
      <w:tr>
        <w:tc>
          <w:tcPr>
            <w:tcW w:type="dxa" w:w="3494"/>
            <w:tcMar>
              <w:top w:w="45" w:type="dxa"/>
              <w:start w:w="55" w:type="dxa"/>
              <w:bottom w:w="45" w:type="dxa"/>
              <w:end w:w="55" w:type="dxa"/>
            </w:tcMar>
          </w:tcPr>
          <w:p>
            <w:r>
              <w:t>Commande LED</w:t>
            </w:r>
          </w:p>
        </w:tc>
        <w:tc>
          <w:tcPr>
            <w:tcW w:type="dxa" w:w="3494"/>
            <w:tcMar>
              <w:top w:w="45" w:type="dxa"/>
              <w:start w:w="55" w:type="dxa"/>
              <w:bottom w:w="45" w:type="dxa"/>
              <w:end w:w="55" w:type="dxa"/>
            </w:tcMar>
          </w:tcPr>
          <w:p>
            <w:r>
              <w:t>GET périodique</w:t>
            </w:r>
          </w:p>
        </w:tc>
        <w:tc>
          <w:tcPr>
            <w:tcW w:type="dxa" w:w="3494"/>
            <w:tcMar>
              <w:top w:w="45" w:type="dxa"/>
              <w:start w:w="55" w:type="dxa"/>
              <w:bottom w:w="45" w:type="dxa"/>
              <w:end w:w="55" w:type="dxa"/>
            </w:tcMar>
          </w:tcPr>
          <w:p>
            <w:r>
              <w:t>Message reçu lors d’une publication</w:t>
            </w:r>
          </w:p>
        </w:tc>
      </w:tr>
      <w:tr>
        <w:tc>
          <w:tcPr>
            <w:tcW w:type="dxa" w:w="3494"/>
            <w:tcMar>
              <w:top w:w="45" w:type="dxa"/>
              <w:start w:w="55" w:type="dxa"/>
              <w:bottom w:w="45" w:type="dxa"/>
              <w:end w:w="55" w:type="dxa"/>
            </w:tcMar>
          </w:tcPr>
          <w:p>
            <w:r>
              <w:t>Mise en œuvre</w:t>
            </w:r>
          </w:p>
        </w:tc>
        <w:tc>
          <w:tcPr>
            <w:tcW w:type="dxa" w:w="3494"/>
            <w:tcMar>
              <w:top w:w="45" w:type="dxa"/>
              <w:start w:w="55" w:type="dxa"/>
              <w:bottom w:w="45" w:type="dxa"/>
              <w:end w:w="55" w:type="dxa"/>
            </w:tcMar>
          </w:tcPr>
          <w:p>
            <w:r>
              <w:t>Très directe</w:t>
            </w:r>
          </w:p>
        </w:tc>
        <w:tc>
          <w:tcPr>
            <w:tcW w:type="dxa" w:w="3494"/>
            <w:tcMar>
              <w:top w:w="45" w:type="dxa"/>
              <w:start w:w="55" w:type="dxa"/>
              <w:bottom w:w="45" w:type="dxa"/>
              <w:end w:w="55" w:type="dxa"/>
            </w:tcMar>
          </w:tcPr>
          <w:p>
            <w:r>
              <w:t>Nécessite un broker</w:t>
            </w:r>
          </w:p>
        </w:tc>
      </w:tr>
      <w:tr>
        <w:tc>
          <w:tcPr>
            <w:tcW w:type="dxa" w:w="3494"/>
            <w:tcMar>
              <w:top w:w="45" w:type="dxa"/>
              <w:start w:w="55" w:type="dxa"/>
              <w:bottom w:w="45" w:type="dxa"/>
              <w:end w:w="55" w:type="dxa"/>
            </w:tcMar>
          </w:tcPr>
          <w:p>
            <w:r>
              <w:t>Échanges fréquents</w:t>
            </w:r>
          </w:p>
        </w:tc>
        <w:tc>
          <w:tcPr>
            <w:tcW w:type="dxa" w:w="3494"/>
            <w:tcMar>
              <w:top w:w="45" w:type="dxa"/>
              <w:start w:w="55" w:type="dxa"/>
              <w:bottom w:w="45" w:type="dxa"/>
              <w:end w:w="55" w:type="dxa"/>
            </w:tcMar>
          </w:tcPr>
          <w:p>
            <w:r>
              <w:t>Plus de requêtes si polling</w:t>
            </w:r>
          </w:p>
        </w:tc>
        <w:tc>
          <w:tcPr>
            <w:tcW w:type="dxa" w:w="3494"/>
            <w:tcMar>
              <w:top w:w="45" w:type="dxa"/>
              <w:start w:w="55" w:type="dxa"/>
              <w:bottom w:w="45" w:type="dxa"/>
              <w:end w:w="55" w:type="dxa"/>
            </w:tcMar>
          </w:tcPr>
          <w:p>
            <w:r>
              <w:t>Bien adapté aux messages réguliers</w:t>
            </w:r>
          </w:p>
        </w:tc>
      </w:tr>
      <w:tr>
        <w:tc>
          <w:tcPr>
            <w:tcW w:type="dxa" w:w="3494"/>
            <w:tcMar>
              <w:top w:w="45" w:type="dxa"/>
              <w:start w:w="55" w:type="dxa"/>
              <w:bottom w:w="45" w:type="dxa"/>
              <w:end w:w="55" w:type="dxa"/>
            </w:tcMar>
          </w:tcPr>
          <w:p>
            <w:r>
              <w:t>Évolutivité</w:t>
            </w:r>
          </w:p>
        </w:tc>
        <w:tc>
          <w:tcPr>
            <w:tcW w:type="dxa" w:w="3494"/>
            <w:tcMar>
              <w:top w:w="45" w:type="dxa"/>
              <w:start w:w="55" w:type="dxa"/>
              <w:bottom w:w="45" w:type="dxa"/>
              <w:end w:w="55" w:type="dxa"/>
            </w:tcMar>
          </w:tcPr>
          <w:p>
            <w:r>
              <w:t>Routes à gérer pour chaque besoin</w:t>
            </w:r>
          </w:p>
        </w:tc>
        <w:tc>
          <w:tcPr>
            <w:tcW w:type="dxa" w:w="3494"/>
            <w:tcMar>
              <w:top w:w="45" w:type="dxa"/>
              <w:start w:w="55" w:type="dxa"/>
              <w:bottom w:w="45" w:type="dxa"/>
              <w:end w:w="55" w:type="dxa"/>
            </w:tcMar>
          </w:tcPr>
          <w:p>
            <w:r>
              <w:t>Ajout facile de nouveaux abonnés/topics</w:t>
            </w:r>
          </w:p>
        </w:tc>
      </w:tr>
      <w:tr>
        <w:tc>
          <w:tcPr>
            <w:tcW w:type="dxa" w:w="3494"/>
            <w:tcMar>
              <w:top w:w="45" w:type="dxa"/>
              <w:start w:w="55" w:type="dxa"/>
              <w:bottom w:w="45" w:type="dxa"/>
              <w:end w:w="55" w:type="dxa"/>
            </w:tcMar>
          </w:tcPr>
          <w:p>
            <w:r>
              <w:t>Lisibilité / debug</w:t>
            </w:r>
          </w:p>
        </w:tc>
        <w:tc>
          <w:tcPr>
            <w:tcW w:type="dxa" w:w="3494"/>
            <w:tcMar>
              <w:top w:w="45" w:type="dxa"/>
              <w:start w:w="55" w:type="dxa"/>
              <w:bottom w:w="45" w:type="dxa"/>
              <w:end w:w="55" w:type="dxa"/>
            </w:tcMar>
          </w:tcPr>
          <w:p>
            <w:r>
              <w:t>Très simple avec codes HTTP</w:t>
            </w:r>
          </w:p>
        </w:tc>
        <w:tc>
          <w:tcPr>
            <w:tcW w:type="dxa" w:w="3494"/>
            <w:tcMar>
              <w:top w:w="45" w:type="dxa"/>
              <w:start w:w="55" w:type="dxa"/>
              <w:bottom w:w="45" w:type="dxa"/>
              <w:end w:w="55" w:type="dxa"/>
            </w:tcMar>
          </w:tcPr>
          <w:p>
            <w:r>
              <w:t>Très pratique une fois les topics définis</w:t>
            </w:r>
          </w:p>
        </w:tc>
      </w:tr>
    </w:tbl>
    <w:p>
      <w:pPr>
        <w:pStyle w:val="Heading1"/>
        <w:spacing w:before="100" w:after="40"/>
      </w:pPr>
      <w:r>
        <w:t>Conclusion</w:t>
      </w:r>
    </w:p>
    <w:p>
      <w:pPr>
        <w:spacing w:after="50" w:line="240" w:lineRule="auto"/>
      </w:pPr>
      <w:r>
        <w:rPr>
          <w:i w:val="0"/>
        </w:rPr>
        <w:t>Les deux solutions ont été validées sur le même système. HTTP/REST est particulièrement simple pour des échanges ponctuels et pour exposer des routes explicites. MQTT est plus naturel pour un système IoT qui échange régulièrement des mesures et doit réagir rapidement à des événements, car le modèle publication/abonnement évite d’avoir à interroger continuellement le serveur. Dans ce TP, l’utilisation des deux méthodes permet donc de mettre en évidence deux architectures différentes, toutes deux fonctionnelles mais adaptées à des besoins différents.</w:t>
      </w:r>
    </w:p>
    <w:sectPr w:rsidR="00FC693F" w:rsidRPr="0006063C" w:rsidSect="00034616">
      <w:footerReference w:type="default" r:id="rId9"/>
      <w:pgSz w:w="12240" w:h="15840"/>
      <w:pgMar w:top="822" w:right="879" w:bottom="765"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TP1 - ESP32 / Node-RED - HTTP/REST &amp; MQTT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