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D3634" w14:textId="77777777" w:rsidR="00BE4433" w:rsidRPr="00BE4433" w:rsidRDefault="00BE4433" w:rsidP="00BE4433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kern w:val="36"/>
          <w:sz w:val="48"/>
          <w:szCs w:val="48"/>
          <w:lang w:val="en-GB" w:eastAsia="en-GB"/>
        </w:rPr>
        <w:t>Project Budgeting Plan: GlobalConsult Recruitment System Optimization (GBP)</w:t>
      </w:r>
    </w:p>
    <w:p w14:paraId="01452E5A" w14:textId="77777777" w:rsidR="00BE4433" w:rsidRPr="00BE4433" w:rsidRDefault="00BE4433" w:rsidP="00BE443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</w:pP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t>This budget plan provides a high-level estimate of the financial commitment required for the ATS implementation project, expressed in British Pounds (£).</w:t>
      </w:r>
    </w:p>
    <w:p w14:paraId="560FF4C8" w14:textId="4DDCAFE5" w:rsidR="00BE4433" w:rsidRPr="00BE4433" w:rsidRDefault="00BE4433" w:rsidP="00BE44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</w:pPr>
    </w:p>
    <w:p w14:paraId="3D2E7E70" w14:textId="77777777" w:rsidR="00BE4433" w:rsidRPr="00BE4433" w:rsidRDefault="00BE4433" w:rsidP="00BE44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GB" w:eastAsia="en-GB"/>
        </w:rPr>
        <w:t>1. Budget Summary (Conceptual Estimate)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5"/>
        <w:gridCol w:w="2925"/>
        <w:gridCol w:w="2115"/>
        <w:gridCol w:w="2489"/>
      </w:tblGrid>
      <w:tr w:rsidR="00BE4433" w:rsidRPr="00BE4433" w14:paraId="5A2F581E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57591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Cost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BFE36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42D9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Estimated Total Range (Conceptual)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54184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Notes</w:t>
            </w:r>
          </w:p>
        </w:tc>
      </w:tr>
      <w:tr w:rsidR="00BE4433" w:rsidRPr="00BE4433" w14:paraId="63D8388E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457C7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CAPEX (One-Time)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8682C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Implementation services, data migration, customization, and internal resource effort.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15BFE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£200,000 - £320,000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2EA6D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Covers all setup and configuration activities.</w:t>
            </w:r>
          </w:p>
        </w:tc>
      </w:tr>
      <w:tr w:rsidR="00BE4433" w:rsidRPr="00BE4433" w14:paraId="78E2CDCD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E7B12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OPEX (Annual Recurring)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4596C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Software licensing, AI/Premium module fees, and ongoing API maintenance.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7760C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£60,000 - £96,000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8A730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Costs will recur annually and scale with user/applicant volume.</w:t>
            </w:r>
          </w:p>
        </w:tc>
      </w:tr>
      <w:tr w:rsidR="00BE4433" w:rsidRPr="00BE4433" w14:paraId="07B810EF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E2AEF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Total Project Cost (Year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D73C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CAPEX + First Year OPEX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AEC6A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£260,000 - £416,000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C939F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Provides a complete picture of the initial investment.</w:t>
            </w:r>
          </w:p>
        </w:tc>
      </w:tr>
    </w:tbl>
    <w:p w14:paraId="3B6E4FF4" w14:textId="77777777" w:rsidR="00BE4433" w:rsidRPr="00BE4433" w:rsidRDefault="00BE4433" w:rsidP="00BE44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GB" w:eastAsia="en-GB"/>
        </w:rPr>
        <w:t>2. Detailed Budget Breakdown</w:t>
      </w:r>
    </w:p>
    <w:p w14:paraId="11FE2726" w14:textId="77777777" w:rsidR="00BE4433" w:rsidRPr="00BE4433" w:rsidRDefault="00BE4433" w:rsidP="00BE44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GB" w:eastAsia="en-GB"/>
        </w:rPr>
        <w:t>I. Software &amp; Licensing (Primarily OPEX)</w:t>
      </w:r>
    </w:p>
    <w:p w14:paraId="5E3098AC" w14:textId="77777777" w:rsidR="00BE4433" w:rsidRPr="00BE4433" w:rsidRDefault="00BE4433" w:rsidP="00BE443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</w:pP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t>This covers the cost of the technology platform itself, which is a recurring subscription model.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9"/>
        <w:gridCol w:w="1087"/>
        <w:gridCol w:w="1474"/>
        <w:gridCol w:w="1663"/>
        <w:gridCol w:w="3121"/>
      </w:tblGrid>
      <w:tr w:rsidR="00BE4433" w:rsidRPr="00BE4433" w14:paraId="0247B095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DDD59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Cost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15128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363B7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54ACE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Estimated Cost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3AD2F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Rationale</w:t>
            </w:r>
          </w:p>
        </w:tc>
      </w:tr>
      <w:tr w:rsidR="00BE4433" w:rsidRPr="00BE4433" w14:paraId="31CB46DB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DE2B4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ATS Core Subscription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ECB11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OPEX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11415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C395A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£40,000 - £64,000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115BA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Licensing based on number of user seats (Recruiters) and/or annual applicant volume.</w:t>
            </w:r>
          </w:p>
        </w:tc>
      </w:tr>
      <w:tr w:rsidR="00BE4433" w:rsidRPr="00BE4433" w14:paraId="6A89442F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A0192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lastRenderedPageBreak/>
              <w:t>AI Screening 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B18DB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OPEX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542BB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DCA1D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£12,000 - £20,000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F8DA2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Premium feature required for automated scoring and ranking (US 1.2), often an add-on fee.</w:t>
            </w:r>
          </w:p>
        </w:tc>
      </w:tr>
      <w:tr w:rsidR="00BE4433" w:rsidRPr="00BE4433" w14:paraId="54CE2E33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9B217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Automated Scheduling 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1EF3A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OPEX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359DD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B4C4E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£4,000 - £8,000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AF7B9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Module or API fee to integrate with Outlook/Teams (US 1.4, 1.5).</w:t>
            </w:r>
          </w:p>
        </w:tc>
      </w:tr>
      <w:tr w:rsidR="00BE4433" w:rsidRPr="00BE4433" w14:paraId="5A2B65C6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F4B00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Total License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CE4C4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OPEX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0FBA9" w14:textId="77777777" w:rsidR="00BE4433" w:rsidRPr="00BE4433" w:rsidRDefault="00BE4433" w:rsidP="00BE44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34EAC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£56,000 - £92,000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DF2E0" w14:textId="77777777" w:rsidR="00BE4433" w:rsidRPr="00BE4433" w:rsidRDefault="00BE4433" w:rsidP="00BE44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</w:p>
        </w:tc>
      </w:tr>
    </w:tbl>
    <w:p w14:paraId="4DEC3412" w14:textId="77777777" w:rsidR="00BE4433" w:rsidRPr="00BE4433" w:rsidRDefault="00BE4433" w:rsidP="00BE44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GB" w:eastAsia="en-GB"/>
        </w:rPr>
        <w:t>II. Implementation Services (CAPEX)</w:t>
      </w:r>
    </w:p>
    <w:p w14:paraId="799679E4" w14:textId="77777777" w:rsidR="00BE4433" w:rsidRPr="00BE4433" w:rsidRDefault="00BE4433" w:rsidP="00BE443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</w:pP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t>This covers the external vendor support required to configure, customize, and integrate the system.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1247"/>
        <w:gridCol w:w="1501"/>
        <w:gridCol w:w="1596"/>
        <w:gridCol w:w="3121"/>
      </w:tblGrid>
      <w:tr w:rsidR="00BE4433" w:rsidRPr="00BE4433" w14:paraId="0B23FCDB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F1A7D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Cost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7EE39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ADF1F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E56A4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Estimated Cost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EBC20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Rationale</w:t>
            </w:r>
          </w:p>
        </w:tc>
      </w:tr>
      <w:tr w:rsidR="00BE4433" w:rsidRPr="00BE4433" w14:paraId="54F7B48C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8203E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Vendor Professional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9DDB1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89D2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Planning, 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611CF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£96,000 - £160,000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607D7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Fees for system configuration, workflow setup, and general project management support.</w:t>
            </w:r>
          </w:p>
        </w:tc>
      </w:tr>
      <w:tr w:rsidR="00BE4433" w:rsidRPr="00BE4433" w14:paraId="7BC86C87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638D9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HRIS Integration (API)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FBC70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D0C33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9CF81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£32,000 - £56,000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A4C93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 xml:space="preserve">Custom development work to build the secure, reliable API connection to </w:t>
            </w: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EmployeeCentral</w:t>
            </w: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 xml:space="preserve"> (US 2.3).</w:t>
            </w:r>
          </w:p>
        </w:tc>
      </w:tr>
      <w:tr w:rsidR="00BE4433" w:rsidRPr="00BE4433" w14:paraId="70ED1839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88209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Data Migration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16B03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32077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14EEC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£16,000 - £32,000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D7779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Service costs for cleaning, mapping, and migrating data from old ATS and spreadsheets.</w:t>
            </w:r>
          </w:p>
        </w:tc>
      </w:tr>
      <w:tr w:rsidR="00BE4433" w:rsidRPr="00BE4433" w14:paraId="47F000CD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7368C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Total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482BC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83306" w14:textId="77777777" w:rsidR="00BE4433" w:rsidRPr="00BE4433" w:rsidRDefault="00BE4433" w:rsidP="00BE44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A4705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£144,000 - £248,000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35C7D" w14:textId="77777777" w:rsidR="00BE4433" w:rsidRPr="00BE4433" w:rsidRDefault="00BE4433" w:rsidP="00BE44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</w:p>
        </w:tc>
      </w:tr>
    </w:tbl>
    <w:p w14:paraId="5D5B86B2" w14:textId="77777777" w:rsidR="00BE4433" w:rsidRPr="00BE4433" w:rsidRDefault="00BE4433" w:rsidP="00BE44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GB" w:eastAsia="en-GB"/>
        </w:rPr>
        <w:t>III. Internal Resource Costs (CAPEX)</w:t>
      </w:r>
    </w:p>
    <w:p w14:paraId="1B4B4CC8" w14:textId="77777777" w:rsidR="00BE4433" w:rsidRPr="00BE4433" w:rsidRDefault="00BE4433" w:rsidP="00BE443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</w:pP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lastRenderedPageBreak/>
        <w:t>This covers the time investment from internal GlobalConsult staff, which is crucial for project success.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4"/>
        <w:gridCol w:w="1247"/>
        <w:gridCol w:w="1708"/>
        <w:gridCol w:w="1576"/>
        <w:gridCol w:w="2619"/>
      </w:tblGrid>
      <w:tr w:rsidR="00BE4433" w:rsidRPr="00BE4433" w14:paraId="4A1C2B09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D60A2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Cost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107BD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28BD1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AA691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Estimated Cost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4FA1D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Rationale</w:t>
            </w:r>
          </w:p>
        </w:tc>
      </w:tr>
      <w:tr w:rsidR="00BE4433" w:rsidRPr="00BE4433" w14:paraId="5037083B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BE5E4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Dedicated Project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F2BB4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C63FE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Initiation -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4EBAE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£24,000 - £40,000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234F9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Cost of internal PM time (estimated 50% allocation for 6 months).</w:t>
            </w:r>
          </w:p>
        </w:tc>
      </w:tr>
      <w:tr w:rsidR="00BE4433" w:rsidRPr="00BE4433" w14:paraId="1B617D4F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38CC2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IT/Compliance SME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BD9B3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B7F17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Planning,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7981B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£16,000 - £24,000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31C4D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Time spent by IT on API specification, security review, and Compliance on auditability sign-off (US 1.3, 3.4).</w:t>
            </w:r>
          </w:p>
        </w:tc>
      </w:tr>
      <w:tr w:rsidR="00BE4433" w:rsidRPr="00BE4433" w14:paraId="533DAD68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0F02F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Recruiter/HR Leadership SME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ADC31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E2895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Planning,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79B5F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£8,000 - £16,000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04AAE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Time spent defining requirements, UAT, and providing feedback on workflows.</w:t>
            </w:r>
          </w:p>
        </w:tc>
      </w:tr>
      <w:tr w:rsidR="00BE4433" w:rsidRPr="00BE4433" w14:paraId="4842363F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25177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Total Internal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BFE2D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2C3D0" w14:textId="77777777" w:rsidR="00BE4433" w:rsidRPr="00BE4433" w:rsidRDefault="00BE4433" w:rsidP="00BE44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EE504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£48,000 - £80,000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BE37" w14:textId="77777777" w:rsidR="00BE4433" w:rsidRPr="00BE4433" w:rsidRDefault="00BE4433" w:rsidP="00BE44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</w:p>
        </w:tc>
      </w:tr>
    </w:tbl>
    <w:p w14:paraId="2F27E8CD" w14:textId="77777777" w:rsidR="00BE4433" w:rsidRPr="00BE4433" w:rsidRDefault="00BE4433" w:rsidP="00BE443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GB" w:eastAsia="en-GB"/>
        </w:rPr>
        <w:t>IV. Change Management &amp; Training (CAPEX)</w:t>
      </w:r>
    </w:p>
    <w:p w14:paraId="291AD91D" w14:textId="77777777" w:rsidR="00BE4433" w:rsidRPr="00BE4433" w:rsidRDefault="00BE4433" w:rsidP="00BE443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</w:pP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t>This covers all activities required for successful user adoption, as outlined in the Change and Adoption Plan.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6"/>
        <w:gridCol w:w="1247"/>
        <w:gridCol w:w="1607"/>
        <w:gridCol w:w="1622"/>
        <w:gridCol w:w="2822"/>
      </w:tblGrid>
      <w:tr w:rsidR="00BE4433" w:rsidRPr="00BE4433" w14:paraId="7B175795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802CF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Cost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0676F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CFBEC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9441C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Estimated Cost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6A290" w14:textId="77777777" w:rsidR="00BE4433" w:rsidRPr="00BE4433" w:rsidRDefault="00BE4433" w:rsidP="00BE44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Rationale</w:t>
            </w:r>
          </w:p>
        </w:tc>
      </w:tr>
      <w:tr w:rsidR="00BE4433" w:rsidRPr="00BE4433" w14:paraId="38D64B0B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7F733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Training Materials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333FA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A621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B358E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£4,000 - £8,000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24A3A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Production of role-based materials (Recruiter, Hiring Manager dashboards) and video tutorials.</w:t>
            </w:r>
          </w:p>
        </w:tc>
      </w:tr>
      <w:tr w:rsidR="00BE4433" w:rsidRPr="00BE4433" w14:paraId="61AAB52F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B2C6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lastRenderedPageBreak/>
              <w:t>Hypercare Support Staffing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C1E3C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0C880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8B523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£4,000 - £8,000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9C300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  <w:t>Budget for additional temporary support or overtime for internal SMEs during the first 30 days post-Go-Live.</w:t>
            </w:r>
          </w:p>
        </w:tc>
      </w:tr>
      <w:tr w:rsidR="00BE4433" w:rsidRPr="00BE4433" w14:paraId="54D422A0" w14:textId="77777777" w:rsidTr="00BE44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5C947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Total Adoption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796A4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CAPEX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D024" w14:textId="77777777" w:rsidR="00BE4433" w:rsidRPr="00BE4433" w:rsidRDefault="00BE4433" w:rsidP="00BE44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FE89E" w14:textId="77777777" w:rsidR="00BE4433" w:rsidRPr="00BE4433" w:rsidRDefault="00BE4433" w:rsidP="00BE4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  <w:r w:rsidRPr="00BE443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GB" w:eastAsia="en-GB"/>
              </w:rPr>
              <w:t>£8,000 - £16,000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BD2D6" w14:textId="77777777" w:rsidR="00BE4433" w:rsidRPr="00BE4433" w:rsidRDefault="00BE4433" w:rsidP="00BE4433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GB" w:eastAsia="en-GB"/>
              </w:rPr>
            </w:pPr>
          </w:p>
        </w:tc>
      </w:tr>
    </w:tbl>
    <w:p w14:paraId="69412785" w14:textId="77777777" w:rsidR="00BE4433" w:rsidRPr="00BE4433" w:rsidRDefault="00BE4433" w:rsidP="00BE4433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  <w:lang w:val="en-GB" w:eastAsia="en-GB"/>
        </w:rPr>
        <w:t>3. Financial Justification &amp; ROI</w:t>
      </w:r>
    </w:p>
    <w:p w14:paraId="0395F987" w14:textId="77777777" w:rsidR="00BE4433" w:rsidRPr="00BE4433" w:rsidRDefault="00BE4433" w:rsidP="00BE443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</w:pP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t>The expenditure is justified by achieving the strategic KPIs:</w:t>
      </w:r>
    </w:p>
    <w:p w14:paraId="2B926C36" w14:textId="77777777" w:rsidR="00BE4433" w:rsidRPr="00BE4433" w:rsidRDefault="00BE4433" w:rsidP="00BE44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GB" w:eastAsia="en-GB"/>
        </w:rPr>
        <w:t>Reduction in Cost-per-Hire:</w:t>
      </w: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t xml:space="preserve"> By eliminating manual screening and scheduling (Recruiter time waste), the total cost of processing each applicant is expected to fall significantly.</w:t>
      </w:r>
    </w:p>
    <w:p w14:paraId="2B4E27FD" w14:textId="0104DEB5" w:rsidR="00BE4433" w:rsidRPr="00BE4433" w:rsidRDefault="00BE4433" w:rsidP="00BE44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GB" w:eastAsia="en-GB"/>
        </w:rPr>
        <w:t>Revenue Impact:</w:t>
      </w: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t xml:space="preserve"> Reducing </w:t>
      </w:r>
      <w:r w:rsidRPr="00BE443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GB" w:eastAsia="en-GB"/>
        </w:rPr>
        <w:t xml:space="preserve">Time-to-Hire by </w:t>
      </w:r>
      <w:r w:rsidR="003C1DF7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GB" w:eastAsia="en-GB"/>
        </w:rPr>
        <w:t>3</w:t>
      </w:r>
      <w:r w:rsidRPr="00BE443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GB" w:eastAsia="en-GB"/>
        </w:rPr>
        <w:t>0%</w:t>
      </w: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t xml:space="preserve"> ensures client-facing roles are staffed faster, directly mitigating the strategic liability that recruitment delays cause to </w:t>
      </w:r>
      <w:r w:rsidRPr="00BE443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GB" w:eastAsia="en-GB"/>
        </w:rPr>
        <w:t>client delivery and revenue</w:t>
      </w: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t>.</w:t>
      </w:r>
    </w:p>
    <w:p w14:paraId="7060DC9D" w14:textId="77777777" w:rsidR="00BE4433" w:rsidRPr="00BE4433" w:rsidRDefault="00BE4433" w:rsidP="00BE4433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</w:pPr>
      <w:r w:rsidRPr="00BE443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GB" w:eastAsia="en-GB"/>
        </w:rPr>
        <w:t>Risk Mitigation:</w:t>
      </w:r>
      <w:r w:rsidRPr="00BE4433">
        <w:rPr>
          <w:rFonts w:ascii="Times New Roman" w:eastAsia="Times New Roman" w:hAnsi="Times New Roman" w:cs="Times New Roman"/>
          <w:color w:val="1B1C1D"/>
          <w:sz w:val="24"/>
          <w:szCs w:val="24"/>
          <w:lang w:val="en-GB" w:eastAsia="en-GB"/>
        </w:rPr>
        <w:t xml:space="preserve"> The investment in compliance features (GDPR, Auditable AI) mitigates the financial and reputational risk associated with a security or legal breach.</w:t>
      </w:r>
    </w:p>
    <w:p w14:paraId="3C777C4D" w14:textId="77777777" w:rsidR="001B05A3" w:rsidRDefault="001B05A3"/>
    <w:sectPr w:rsidR="001B0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F5F65"/>
    <w:multiLevelType w:val="multilevel"/>
    <w:tmpl w:val="E1F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33"/>
    <w:rsid w:val="001B05A3"/>
    <w:rsid w:val="001B70F8"/>
    <w:rsid w:val="003A0B72"/>
    <w:rsid w:val="003C1DF7"/>
    <w:rsid w:val="005D03EA"/>
    <w:rsid w:val="00BE4433"/>
    <w:rsid w:val="00CF1A31"/>
    <w:rsid w:val="00DA2BA4"/>
    <w:rsid w:val="00EE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43335"/>
  <w15:chartTrackingRefBased/>
  <w15:docId w15:val="{281DDAE1-CDA9-4313-8296-714CB357F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44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paragraph" w:styleId="Heading2">
    <w:name w:val="heading 2"/>
    <w:basedOn w:val="Normal"/>
    <w:link w:val="Heading2Char"/>
    <w:uiPriority w:val="9"/>
    <w:qFormat/>
    <w:rsid w:val="00BE44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paragraph" w:styleId="Heading3">
    <w:name w:val="heading 3"/>
    <w:basedOn w:val="Normal"/>
    <w:link w:val="Heading3Char"/>
    <w:uiPriority w:val="9"/>
    <w:qFormat/>
    <w:rsid w:val="00BE44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433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E4433"/>
    <w:rPr>
      <w:rFonts w:ascii="Times New Roman" w:eastAsia="Times New Roman" w:hAnsi="Times New Roman" w:cs="Times New Roman"/>
      <w:b/>
      <w:bCs/>
      <w:sz w:val="36"/>
      <w:szCs w:val="36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E4433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BE4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BE4433"/>
    <w:rPr>
      <w:i/>
      <w:iCs/>
    </w:rPr>
  </w:style>
  <w:style w:type="character" w:styleId="Strong">
    <w:name w:val="Strong"/>
    <w:basedOn w:val="DefaultParagraphFont"/>
    <w:uiPriority w:val="22"/>
    <w:qFormat/>
    <w:rsid w:val="00BE44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575</Words>
  <Characters>3518</Characters>
  <Application>Microsoft Office Word</Application>
  <DocSecurity>0</DocSecurity>
  <Lines>251</Lines>
  <Paragraphs>136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Darlington Onyinyechi Nwosu (s293247)</dc:creator>
  <cp:keywords/>
  <dc:description/>
  <cp:lastModifiedBy>Darlington Onyinyechi Nwosu (s293247)</cp:lastModifiedBy>
  <cp:revision>2</cp:revision>
  <dcterms:created xsi:type="dcterms:W3CDTF">2025-11-11T10:18:00Z</dcterms:created>
  <dcterms:modified xsi:type="dcterms:W3CDTF">2025-11-11T10:19:00Z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7392c448-4330-4451-b82b-ef4a2c99e60b</vt:lpwstr>
  </property>
</Properties>
</file>