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A365D"/>
          <w:sz w:val="44"/>
        </w:rPr>
        <w:t>PHISHING AWARENESS TRAINING MODULE</w:t>
      </w:r>
    </w:p>
    <w:p>
      <w:pPr>
        <w:spacing w:after="400"/>
      </w:pPr>
      <w:r>
        <w:rPr>
          <w:rFonts w:ascii="Arial" w:hAnsi="Arial"/>
          <w:i/>
          <w:color w:val="3182CE"/>
          <w:sz w:val="24"/>
        </w:rPr>
        <w:t>Comprehensive Security Awareness, Social Engineering Defense &amp; Knowledge Evaluation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Mar>
              <w:top w:w="120" w:type="dxa"/>
              <w:bottom w:w="120" w:type="dxa"/>
              <w:left w:w="150" w:type="dxa"/>
              <w:right w:w="150" w:type="dxa"/>
            </w:tcMar>
            <w:shd w:fill="EDF2F7"/>
          </w:tcPr>
          <w:p>
            <w:pPr>
              <w:spacing w:after="0"/>
            </w:pPr>
            <w:r>
              <w:rPr>
                <w:rFonts w:ascii="Arial" w:hAnsi="Arial"/>
                <w:b/>
                <w:color w:val="2D3748"/>
                <w:sz w:val="19"/>
              </w:rPr>
              <w:t>Author</w:t>
            </w:r>
          </w:p>
        </w:tc>
        <w:tc>
          <w:tcPr>
            <w:tcW w:type="dxa" w:w="2340"/>
            <w:tcMar>
              <w:top w:w="120" w:type="dxa"/>
              <w:bottom w:w="120" w:type="dxa"/>
              <w:left w:w="150" w:type="dxa"/>
              <w:right w:w="150" w:type="dxa"/>
            </w:tcMar>
          </w:tcPr>
          <w:p>
            <w:pPr>
              <w:spacing w:after="0"/>
            </w:pPr>
            <w:r>
              <w:rPr>
                <w:rFonts w:ascii="Arial" w:hAnsi="Arial"/>
                <w:color w:val="2D3748"/>
                <w:sz w:val="19"/>
              </w:rPr>
              <w:t>Somtochukwu Darlington Onyeka</w:t>
            </w:r>
          </w:p>
        </w:tc>
        <w:tc>
          <w:tcPr>
            <w:tcW w:type="dxa" w:w="2340"/>
            <w:tcMar>
              <w:top w:w="120" w:type="dxa"/>
              <w:bottom w:w="120" w:type="dxa"/>
              <w:left w:w="150" w:type="dxa"/>
              <w:right w:w="150" w:type="dxa"/>
            </w:tcMar>
            <w:shd w:fill="EDF2F7"/>
          </w:tcPr>
          <w:p>
            <w:pPr>
              <w:spacing w:after="0"/>
            </w:pPr>
            <w:r>
              <w:rPr>
                <w:rFonts w:ascii="Arial" w:hAnsi="Arial"/>
                <w:b/>
                <w:color w:val="2D3748"/>
                <w:sz w:val="19"/>
              </w:rPr>
              <w:t>Project Domain</w:t>
            </w:r>
          </w:p>
        </w:tc>
        <w:tc>
          <w:tcPr>
            <w:tcW w:type="dxa" w:w="2340"/>
            <w:tcMar>
              <w:top w:w="120" w:type="dxa"/>
              <w:bottom w:w="120" w:type="dxa"/>
              <w:left w:w="150" w:type="dxa"/>
              <w:right w:w="150" w:type="dxa"/>
            </w:tcMar>
          </w:tcPr>
          <w:p>
            <w:pPr>
              <w:spacing w:after="0"/>
            </w:pPr>
            <w:r>
              <w:rPr>
                <w:rFonts w:ascii="Arial" w:hAnsi="Arial"/>
                <w:color w:val="2D3748"/>
                <w:sz w:val="19"/>
              </w:rPr>
              <w:t>Cyber Security (CodeAlpha)</w:t>
            </w:r>
          </w:p>
        </w:tc>
      </w:tr>
      <w:tr>
        <w:tc>
          <w:tcPr>
            <w:tcW w:type="dxa" w:w="2340"/>
            <w:tcMar>
              <w:top w:w="120" w:type="dxa"/>
              <w:bottom w:w="120" w:type="dxa"/>
              <w:left w:w="150" w:type="dxa"/>
              <w:right w:w="150" w:type="dxa"/>
            </w:tcMar>
            <w:shd w:fill="EDF2F7"/>
          </w:tcPr>
          <w:p>
            <w:pPr>
              <w:spacing w:after="0"/>
            </w:pPr>
            <w:r>
              <w:rPr>
                <w:rFonts w:ascii="Arial" w:hAnsi="Arial"/>
                <w:b/>
                <w:color w:val="2D3748"/>
                <w:sz w:val="19"/>
              </w:rPr>
              <w:t>Task ID</w:t>
            </w:r>
          </w:p>
        </w:tc>
        <w:tc>
          <w:tcPr>
            <w:tcW w:type="dxa" w:w="2340"/>
            <w:tcMar>
              <w:top w:w="120" w:type="dxa"/>
              <w:bottom w:w="120" w:type="dxa"/>
              <w:left w:w="150" w:type="dxa"/>
              <w:right w:w="150" w:type="dxa"/>
            </w:tcMar>
          </w:tcPr>
          <w:p>
            <w:pPr>
              <w:spacing w:after="0"/>
            </w:pPr>
            <w:r>
              <w:rPr>
                <w:rFonts w:ascii="Arial" w:hAnsi="Arial"/>
                <w:color w:val="2D3748"/>
                <w:sz w:val="19"/>
              </w:rPr>
              <w:t>TASK 2: Phishing Awareness</w:t>
            </w:r>
          </w:p>
        </w:tc>
        <w:tc>
          <w:tcPr>
            <w:tcW w:type="dxa" w:w="2340"/>
            <w:tcMar>
              <w:top w:w="120" w:type="dxa"/>
              <w:bottom w:w="120" w:type="dxa"/>
              <w:left w:w="150" w:type="dxa"/>
              <w:right w:w="150" w:type="dxa"/>
            </w:tcMar>
            <w:shd w:fill="EDF2F7"/>
          </w:tcPr>
          <w:p>
            <w:pPr>
              <w:spacing w:after="0"/>
            </w:pPr>
            <w:r>
              <w:rPr>
                <w:rFonts w:ascii="Arial" w:hAnsi="Arial"/>
                <w:b/>
                <w:color w:val="2D3748"/>
                <w:sz w:val="19"/>
              </w:rPr>
              <w:t>Target Audience</w:t>
            </w:r>
          </w:p>
        </w:tc>
        <w:tc>
          <w:tcPr>
            <w:tcW w:type="dxa" w:w="2340"/>
            <w:tcMar>
              <w:top w:w="120" w:type="dxa"/>
              <w:bottom w:w="120" w:type="dxa"/>
              <w:left w:w="150" w:type="dxa"/>
              <w:right w:w="150" w:type="dxa"/>
            </w:tcMar>
          </w:tcPr>
          <w:p>
            <w:pPr>
              <w:spacing w:after="0"/>
            </w:pPr>
            <w:r>
              <w:rPr>
                <w:rFonts w:ascii="Arial" w:hAnsi="Arial"/>
                <w:color w:val="2D3748"/>
                <w:sz w:val="19"/>
              </w:rPr>
              <w:t>Corporate Workforce &amp; Staff</w:t>
            </w:r>
          </w:p>
        </w:tc>
      </w:tr>
      <w:tr>
        <w:tc>
          <w:tcPr>
            <w:tcW w:type="dxa" w:w="2340"/>
            <w:tcMar>
              <w:top w:w="120" w:type="dxa"/>
              <w:bottom w:w="120" w:type="dxa"/>
              <w:left w:w="150" w:type="dxa"/>
              <w:right w:w="150" w:type="dxa"/>
            </w:tcMar>
            <w:shd w:fill="EDF2F7"/>
          </w:tcPr>
          <w:p>
            <w:pPr>
              <w:spacing w:after="0"/>
            </w:pPr>
            <w:r>
              <w:rPr>
                <w:rFonts w:ascii="Arial" w:hAnsi="Arial"/>
                <w:b/>
                <w:color w:val="2D3748"/>
                <w:sz w:val="19"/>
              </w:rPr>
              <w:t>Format</w:t>
            </w:r>
          </w:p>
        </w:tc>
        <w:tc>
          <w:tcPr>
            <w:tcW w:type="dxa" w:w="2340"/>
            <w:tcMar>
              <w:top w:w="120" w:type="dxa"/>
              <w:bottom w:w="120" w:type="dxa"/>
              <w:left w:w="150" w:type="dxa"/>
              <w:right w:w="150" w:type="dxa"/>
            </w:tcMar>
          </w:tcPr>
          <w:p>
            <w:pPr>
              <w:spacing w:after="0"/>
            </w:pPr>
            <w:r>
              <w:rPr>
                <w:rFonts w:ascii="Arial" w:hAnsi="Arial"/>
                <w:color w:val="2D3748"/>
                <w:sz w:val="19"/>
              </w:rPr>
              <w:t>Interactive Training &amp; Evaluation</w:t>
            </w:r>
          </w:p>
        </w:tc>
        <w:tc>
          <w:tcPr>
            <w:tcW w:type="dxa" w:w="2340"/>
            <w:tcMar>
              <w:top w:w="120" w:type="dxa"/>
              <w:bottom w:w="120" w:type="dxa"/>
              <w:left w:w="150" w:type="dxa"/>
              <w:right w:w="150" w:type="dxa"/>
            </w:tcMar>
            <w:shd w:fill="EDF2F7"/>
          </w:tcPr>
          <w:p>
            <w:pPr>
              <w:spacing w:after="0"/>
            </w:pPr>
            <w:r>
              <w:rPr>
                <w:rFonts w:ascii="Arial" w:hAnsi="Arial"/>
                <w:b/>
                <w:color w:val="2D3748"/>
                <w:sz w:val="19"/>
              </w:rPr>
              <w:t>Classification</w:t>
            </w:r>
          </w:p>
        </w:tc>
        <w:tc>
          <w:tcPr>
            <w:tcW w:type="dxa" w:w="2340"/>
            <w:tcMar>
              <w:top w:w="120" w:type="dxa"/>
              <w:bottom w:w="120" w:type="dxa"/>
              <w:left w:w="150" w:type="dxa"/>
              <w:right w:w="150" w:type="dxa"/>
            </w:tcMar>
          </w:tcPr>
          <w:p>
            <w:pPr>
              <w:spacing w:after="0"/>
            </w:pPr>
            <w:r>
              <w:rPr>
                <w:rFonts w:ascii="Arial" w:hAnsi="Arial"/>
                <w:color w:val="2D3748"/>
                <w:sz w:val="19"/>
              </w:rPr>
              <w:t>PUBLIC / EDUCATIONAL</w:t>
            </w:r>
          </w:p>
        </w:tc>
      </w:tr>
    </w:tbl>
    <w:p>
      <w:pPr>
        <w:spacing w:after="240"/>
      </w:pPr>
    </w:p>
    <w:p>
      <w:pPr>
        <w:keepNext/>
        <w:spacing w:before="320" w:after="120"/>
      </w:pPr>
      <w:r>
        <w:rPr>
          <w:rFonts w:ascii="Arial" w:hAnsi="Arial"/>
          <w:b/>
          <w:color w:val="1A365D"/>
          <w:sz w:val="27"/>
        </w:rPr>
        <w:t>1. Executive Overview &amp; Training Objectives</w:t>
      </w:r>
    </w:p>
    <w:p>
      <w:r>
        <w:t>Phishing remains the single most common entry point for cyber threats targeting modern organizations. Attackers exploit human psychology rather than system vulnerabilities to harvest credentials, deploy ransomware, and breach sensitive networks. This training module is designed to educate personnel on identifying social engineering tactics, recognizing fraudulent communications, inspecting fake websites, and adhering to incident reporting best practices.</w:t>
      </w:r>
    </w:p>
    <w:p>
      <w:pPr>
        <w:keepNext/>
        <w:spacing w:before="320" w:after="120"/>
      </w:pPr>
      <w:r>
        <w:rPr>
          <w:rFonts w:ascii="Arial" w:hAnsi="Arial"/>
          <w:b/>
          <w:color w:val="1A365D"/>
          <w:sz w:val="27"/>
        </w:rPr>
        <w:t>2. Understanding Social Engineering Tactics</w:t>
      </w:r>
    </w:p>
    <w:p>
      <w:r>
        <w:t>Social engineering relies on psychological manipulation to trick victims into taking unsafe actions. Key psychological triggers include:</w:t>
      </w:r>
    </w:p>
    <w:p>
      <w:pPr>
        <w:pStyle w:val="ListBullet"/>
        <w:spacing w:after="80"/>
      </w:pPr>
      <w:r>
        <w:rPr>
          <w:b/>
          <w:color w:val="1A365D"/>
        </w:rPr>
        <w:t>Urgency &amp; Fear:</w:t>
      </w:r>
      <w:r>
        <w:t xml:space="preserve"> Attackers create artificial deadlines (e.g., 'Account suspended in 2 hours!') to panic victims into acting without thinking.</w:t>
      </w:r>
    </w:p>
    <w:p>
      <w:pPr>
        <w:pStyle w:val="ListBullet"/>
        <w:spacing w:after="80"/>
      </w:pPr>
      <w:r>
        <w:rPr>
          <w:b/>
          <w:color w:val="1A365D"/>
        </w:rPr>
        <w:t>Authority &amp; Impersonation:</w:t>
      </w:r>
      <w:r>
        <w:t xml:space="preserve"> Pretending to be executives, IT support, tax agencies, or legal authorities to command compliance.</w:t>
      </w:r>
    </w:p>
    <w:p>
      <w:pPr>
        <w:pStyle w:val="ListBullet"/>
        <w:spacing w:after="80"/>
      </w:pPr>
      <w:r>
        <w:rPr>
          <w:b/>
          <w:color w:val="1A365D"/>
        </w:rPr>
        <w:t>Curiosity &amp; Greed:</w:t>
      </w:r>
      <w:r>
        <w:t xml:space="preserve"> Offering unexpected bonuses, gift cards, or confidential information to entice users into clicking malicious links.</w:t>
      </w:r>
    </w:p>
    <w:p>
      <w:pPr>
        <w:pStyle w:val="ListBullet"/>
        <w:spacing w:after="80"/>
      </w:pPr>
      <w:r>
        <w:rPr>
          <w:b/>
          <w:color w:val="1A365D"/>
        </w:rPr>
        <w:t>Pretexting &amp; Trust Building:</w:t>
      </w:r>
      <w:r>
        <w:t xml:space="preserve"> Establishing a believable scenario or fake relationship before requesting sensitive access or funds.</w:t>
      </w:r>
    </w:p>
    <w:p>
      <w:pPr>
        <w:keepNext/>
        <w:spacing w:before="320" w:after="120"/>
      </w:pPr>
      <w:r>
        <w:rPr>
          <w:rFonts w:ascii="Arial" w:hAnsi="Arial"/>
          <w:b/>
          <w:color w:val="1A365D"/>
          <w:sz w:val="27"/>
        </w:rPr>
        <w:t>3. Red Flags: Spotting Phishing Emails</w:t>
      </w:r>
    </w:p>
    <w:p>
      <w:r>
        <w:t>Always inspect incoming communications carefully. Below are common indicators of a phishing attempt:</w:t>
      </w:r>
    </w:p>
    <w:p>
      <w:pPr>
        <w:pStyle w:val="ListBullet"/>
        <w:spacing w:after="80"/>
      </w:pPr>
      <w:r>
        <w:t>Mismatched Sender Domains: Display name says 'IT Support', but the actual email address is support@it-update-security123.com.</w:t>
      </w:r>
    </w:p>
    <w:p>
      <w:pPr>
        <w:pStyle w:val="ListBullet"/>
        <w:spacing w:after="80"/>
      </w:pPr>
      <w:r>
        <w:t>Generic Greetings: Phrases like 'Dear Customer' or 'Valued Employee' instead of your personalized name.</w:t>
      </w:r>
    </w:p>
    <w:p>
      <w:pPr>
        <w:pStyle w:val="ListBullet"/>
        <w:spacing w:after="80"/>
      </w:pPr>
      <w:r>
        <w:t>Suspicious Hyperlinks: Hovering over a link reveals a destination domain completely unrelated to the legitimate company.</w:t>
      </w:r>
    </w:p>
    <w:p>
      <w:pPr>
        <w:pStyle w:val="ListBullet"/>
        <w:spacing w:after="80"/>
      </w:pPr>
      <w:r>
        <w:t>Unusual Attachments: Unexpected files with extensions like .exe, .zip, .html, or macro-enabled Office documents (.docm).</w:t>
      </w:r>
    </w:p>
    <w:p>
      <w:pPr>
        <w:pStyle w:val="ListBullet"/>
        <w:spacing w:after="80"/>
      </w:pPr>
      <w:r>
        <w:t>Pressure to Bypass Policy: Requests asking you to ignore standard security protocols or wire funds discreetly.</w:t>
      </w:r>
    </w:p>
    <w:p>
      <w:pPr>
        <w:keepNext/>
        <w:spacing w:before="320" w:after="120"/>
      </w:pPr>
      <w:r>
        <w:rPr>
          <w:rFonts w:ascii="Arial" w:hAnsi="Arial"/>
          <w:b/>
          <w:color w:val="1A365D"/>
          <w:sz w:val="27"/>
        </w:rPr>
        <w:t>4. Fake Website Detection &amp; URL Inspection</w:t>
      </w:r>
    </w:p>
    <w:p>
      <w:r>
        <w:t>Attackers frequently build pixel-perfect clones of login portals (e.g., Microsoft 365, Google, Banking sites) to steal credentials. Follow these rules to verify legitimacy:</w:t>
      </w:r>
    </w:p>
    <w:p>
      <w:pPr>
        <w:pStyle w:val="ListBullet"/>
        <w:spacing w:after="80"/>
      </w:pPr>
      <w:r>
        <w:rPr>
          <w:b/>
          <w:color w:val="1A365D"/>
        </w:rPr>
        <w:t>Check the Domain (TLD) Carefully:</w:t>
      </w:r>
      <w:r>
        <w:t xml:space="preserve"> Look out for typosquatting tricks like paypa1.com, micros0ft.com, or secure-login.bank-verify.net.</w:t>
      </w:r>
    </w:p>
    <w:p>
      <w:pPr>
        <w:pStyle w:val="ListBullet"/>
        <w:spacing w:after="80"/>
      </w:pPr>
      <w:r>
        <w:rPr>
          <w:b/>
          <w:color w:val="1A365D"/>
        </w:rPr>
        <w:t>Do Not Rely Solely on HTTPS Padlocks:</w:t>
      </w:r>
      <w:r>
        <w:t xml:space="preserve"> Cybercriminals use free SSL certificates too! A lock icon only means the connection is encrypted, not that the site is trustworthy.</w:t>
      </w:r>
    </w:p>
    <w:p>
      <w:pPr>
        <w:pStyle w:val="ListBullet"/>
        <w:spacing w:after="80"/>
      </w:pPr>
      <w:r>
        <w:rPr>
          <w:b/>
          <w:color w:val="1A365D"/>
        </w:rPr>
        <w:t>Use Bookmark-Only Access:</w:t>
      </w:r>
      <w:r>
        <w:t xml:space="preserve"> Never log into critical accounts by clicking links inside emails. Always navigate directly via verified bookmarks.</w:t>
      </w:r>
    </w:p>
    <w:p>
      <w:pPr>
        <w:keepNext/>
        <w:spacing w:before="320" w:after="120"/>
      </w:pPr>
      <w:r>
        <w:rPr>
          <w:rFonts w:ascii="Arial" w:hAnsi="Arial"/>
          <w:b/>
          <w:color w:val="1A365D"/>
          <w:sz w:val="27"/>
        </w:rPr>
        <w:t>5. Case Study: Real-World Phishing Scenario</w:t>
      </w:r>
    </w:p>
    <w:tbl>
      <w:tblPr>
        <w:tblW w:type="auto" w:w="0"/>
        <w:tblLook w:firstColumn="1" w:firstRow="1" w:lastColumn="0" w:lastRow="0" w:noHBand="0" w:noVBand="1" w:val="04A0"/>
      </w:tblPr>
      <w:tblGrid>
        <w:gridCol w:w="9360"/>
      </w:tblGrid>
      <w:tr>
        <w:tc>
          <w:tcPr>
            <w:tcW w:type="dxa" w:w="9360"/>
            <w:shd w:fill="FFF5F5"/>
            <w:tcMar>
              <w:top w:w="140" w:type="dxa"/>
              <w:bottom w:w="140" w:type="dxa"/>
              <w:left w:w="200" w:type="dxa"/>
              <w:right w:w="200" w:type="dxa"/>
            </w:tcMar>
            <w:tcBorders>
              <w:top w:val="none"/>
              <w:left w:val="single" w:sz="24" w:space="0" w:color="E53E3E"/>
              <w:bottom w:val="none"/>
              <w:right w:val="none"/>
            </w:tcBorders>
          </w:tcPr>
          <w:p>
            <w:pPr>
              <w:spacing w:after="80"/>
            </w:pPr>
            <w:r>
              <w:rPr>
                <w:rFonts w:ascii="Arial" w:hAnsi="Arial"/>
                <w:b/>
                <w:color w:val="E53E3E"/>
                <w:sz w:val="22"/>
              </w:rPr>
              <w:t>🚨 Real-World Example: The Urgent Password Reset Attack</w:t>
              <w:br/>
            </w:r>
            <w:r>
              <w:rPr>
                <w:sz w:val="20"/>
              </w:rPr>
              <w:t>Scenario: An employee receives an email titled 'CRITICAL: Microsoft 365 Security Breach — Reset Password Immediately'.</w:t>
              <w:br/>
              <w:t>The Email Header: From 'Microsoft Security' &lt;no-reply@security-msft365-alert.org&gt;</w:t>
              <w:br/>
              <w:t>The Action: Clicking the 'Reset Password Now' button leads to a fake login page that mirrors the company's portal.</w:t>
              <w:br/>
              <w:t>The Result: Entering credentials hands full account access over to the attacker, leading to business email compromise (BEC).</w:t>
            </w:r>
          </w:p>
        </w:tc>
      </w:tr>
    </w:tbl>
    <w:p>
      <w:pPr>
        <w:spacing w:after="120"/>
      </w:pPr>
    </w:p>
    <w:p>
      <w:pPr>
        <w:keepNext/>
        <w:spacing w:before="320" w:after="120"/>
      </w:pPr>
      <w:r>
        <w:rPr>
          <w:rFonts w:ascii="Arial" w:hAnsi="Arial"/>
          <w:b/>
          <w:color w:val="1A365D"/>
          <w:sz w:val="27"/>
        </w:rPr>
        <w:t>6. Best Practices &amp; Incident Response Protocol</w:t>
      </w:r>
    </w:p>
    <w:p>
      <w:pPr>
        <w:pStyle w:val="ListBullet"/>
        <w:spacing w:after="80"/>
      </w:pPr>
      <w:r>
        <w:rPr>
          <w:b/>
          <w:color w:val="16A34A"/>
        </w:rPr>
        <w:t>STOP &amp; THINK:</w:t>
      </w:r>
      <w:r>
        <w:t xml:space="preserve"> Never click links or download attachments under emotional pressure.</w:t>
      </w:r>
    </w:p>
    <w:p>
      <w:pPr>
        <w:pStyle w:val="ListBullet"/>
        <w:spacing w:after="80"/>
      </w:pPr>
      <w:r>
        <w:rPr>
          <w:b/>
          <w:color w:val="16A34A"/>
        </w:rPr>
        <w:t>VERIFY OUT-OF-BAND:</w:t>
      </w:r>
      <w:r>
        <w:t xml:space="preserve"> Contact the alleged sender using an official phone number or internal chat, not the contact info provided in the email.</w:t>
      </w:r>
    </w:p>
    <w:p>
      <w:pPr>
        <w:pStyle w:val="ListBullet"/>
        <w:spacing w:after="80"/>
      </w:pPr>
      <w:r>
        <w:rPr>
          <w:b/>
          <w:color w:val="16A34A"/>
        </w:rPr>
        <w:t>REPORT IMMEDIATELY:</w:t>
      </w:r>
      <w:r>
        <w:t xml:space="preserve"> Forward suspicious emails to your internal SOC / IT Security team using the 'Report Phishing' button.</w:t>
      </w:r>
    </w:p>
    <w:p>
      <w:pPr>
        <w:pStyle w:val="ListBullet"/>
        <w:spacing w:after="80"/>
      </w:pPr>
      <w:r>
        <w:rPr>
          <w:b/>
          <w:color w:val="16A34A"/>
        </w:rPr>
        <w:t>CONTAIN &amp; ISOLATE:</w:t>
      </w:r>
      <w:r>
        <w:t xml:space="preserve"> If you accidentally entered credentials on a suspicious link, immediately change your password and disconnect your machine from the network.</w:t>
      </w:r>
    </w:p>
    <w:p>
      <w:r>
        <w:br w:type="page"/>
      </w:r>
    </w:p>
    <w:p>
      <w:pPr>
        <w:keepNext/>
        <w:spacing w:before="320" w:after="120"/>
      </w:pPr>
      <w:r>
        <w:rPr>
          <w:rFonts w:ascii="Arial" w:hAnsi="Arial"/>
          <w:b/>
          <w:color w:val="1A365D"/>
          <w:sz w:val="27"/>
        </w:rPr>
        <w:t>7. Interactive Knowledge Evaluation (Quiz Module)</w:t>
      </w:r>
    </w:p>
    <w:p>
      <w:r>
        <w:t>Test your ability to spot social engineering attacks using the quiz module below:</w:t>
      </w:r>
    </w:p>
    <w:p>
      <w:pPr>
        <w:keepNext/>
        <w:spacing w:before="160" w:after="40"/>
      </w:pPr>
      <w:r>
        <w:rPr>
          <w:rFonts w:ascii="Arial" w:hAnsi="Arial"/>
          <w:b/>
          <w:color w:val="1A365D"/>
        </w:rPr>
        <w:t>Question 1: You receive an email from 'HR' asking you to download 'New_Bonus_Policy.exe'. What should you do?</w:t>
      </w:r>
    </w:p>
    <w:p>
      <w:pPr>
        <w:spacing w:after="40"/>
        <w:ind w:left="288"/>
      </w:pPr>
      <w:r>
        <w:t>A) Open it immediately to see your bonus.</w:t>
      </w:r>
    </w:p>
    <w:p>
      <w:pPr>
        <w:spacing w:after="40"/>
        <w:ind w:left="288"/>
      </w:pPr>
      <w:r>
        <w:t>B) Forward it to your personal email to check later.</w:t>
      </w:r>
    </w:p>
    <w:p>
      <w:pPr>
        <w:spacing w:after="40"/>
        <w:ind w:left="288"/>
      </w:pPr>
      <w:r>
        <w:t>C) Report it to IT Security and do not open the attachment.</w:t>
      </w:r>
    </w:p>
    <w:p>
      <w:pPr>
        <w:spacing w:after="40"/>
        <w:ind w:left="288"/>
      </w:pPr>
      <w:r>
        <w:t>D) Reply to the sender asking if it's safe.</w:t>
      </w:r>
    </w:p>
    <w:p>
      <w:pPr>
        <w:spacing w:after="200"/>
        <w:ind w:left="288"/>
      </w:pPr>
      <w:r>
        <w:rPr>
          <w:b/>
          <w:color w:val="16A34A"/>
        </w:rPr>
        <w:t>Correct Answer: C. Executable files (.exe) sent via email are major security risks and often deliver malware.</w:t>
      </w:r>
    </w:p>
    <w:p>
      <w:pPr>
        <w:keepNext/>
        <w:spacing w:before="160" w:after="40"/>
      </w:pPr>
      <w:r>
        <w:rPr>
          <w:rFonts w:ascii="Arial" w:hAnsi="Arial"/>
          <w:b/>
          <w:color w:val="1A365D"/>
        </w:rPr>
        <w:t>Question 2: Which URL is legitimately owned by Microsoft?</w:t>
      </w:r>
    </w:p>
    <w:p>
      <w:pPr>
        <w:spacing w:after="40"/>
        <w:ind w:left="288"/>
      </w:pPr>
      <w:r>
        <w:t>A) http://login.microsoft.security-update.com</w:t>
      </w:r>
    </w:p>
    <w:p>
      <w:pPr>
        <w:spacing w:after="40"/>
        <w:ind w:left="288"/>
      </w:pPr>
      <w:r>
        <w:t>B) https://login.microsoftonline.com</w:t>
      </w:r>
    </w:p>
    <w:p>
      <w:pPr>
        <w:spacing w:after="40"/>
        <w:ind w:left="288"/>
      </w:pPr>
      <w:r>
        <w:t>C) https://microsoft.portal-login.net</w:t>
      </w:r>
    </w:p>
    <w:p>
      <w:pPr>
        <w:spacing w:after="40"/>
        <w:ind w:left="288"/>
      </w:pPr>
      <w:r>
        <w:t>D) http://micros0ft.com/login</w:t>
      </w:r>
    </w:p>
    <w:p>
      <w:pPr>
        <w:spacing w:after="200"/>
        <w:ind w:left="288"/>
      </w:pPr>
      <w:r>
        <w:rPr>
          <w:b/>
          <w:color w:val="16A34A"/>
        </w:rPr>
        <w:t>Correct Answer: B. The root domain is microsoftonline.com. Subdomains like 'security-update.com' or typos like 'micros0ft.com' are malicious.</w:t>
      </w:r>
    </w:p>
    <w:p>
      <w:pPr>
        <w:keepNext/>
        <w:spacing w:before="160" w:after="40"/>
      </w:pPr>
      <w:r>
        <w:rPr>
          <w:rFonts w:ascii="Arial" w:hAnsi="Arial"/>
          <w:b/>
          <w:color w:val="1A365D"/>
        </w:rPr>
        <w:t>Question 3: Does the presence of HTTPS (a padlock icon) guarantee a website is 100% safe?</w:t>
      </w:r>
    </w:p>
    <w:p>
      <w:pPr>
        <w:spacing w:after="40"/>
        <w:ind w:left="288"/>
      </w:pPr>
      <w:r>
        <w:t>A) Yes, HTTPS means the site is verified and safe.</w:t>
      </w:r>
    </w:p>
    <w:p>
      <w:pPr>
        <w:spacing w:after="40"/>
        <w:ind w:left="288"/>
      </w:pPr>
      <w:r>
        <w:t>B) No, HTTPS only encrypts the traffic; malicious sites can also use HTTPS.</w:t>
      </w:r>
    </w:p>
    <w:p>
      <w:pPr>
        <w:spacing w:after="40"/>
        <w:ind w:left="288"/>
      </w:pPr>
      <w:r>
        <w:t>C) Yes, hackers cannot get SSL certificates.</w:t>
      </w:r>
    </w:p>
    <w:p>
      <w:pPr>
        <w:spacing w:after="40"/>
        <w:ind w:left="288"/>
      </w:pPr>
      <w:r>
        <w:t>D) Only if the padlock is green.</w:t>
      </w:r>
    </w:p>
    <w:p>
      <w:pPr>
        <w:spacing w:after="200"/>
        <w:ind w:left="288"/>
      </w:pPr>
      <w:r>
        <w:rPr>
          <w:b/>
          <w:color w:val="16A34A"/>
        </w:rPr>
        <w:t>Correct Answer: B. HTTPS encrypts data in transit, but attackers frequently use free certificates on phishing pages.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