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60"/>
      </w:pPr>
      <w:r>
        <w:rPr>
          <w:rFonts w:ascii="Aptos Display" w:hAnsi="Aptos Display"/>
          <w:b/>
          <w:color w:val="1F4E79"/>
          <w:sz w:val="22"/>
        </w:rPr>
        <w:t>RELATÓRIO DE AVALIAÇÃO TÉCNICA</w:t>
      </w:r>
    </w:p>
    <w:p>
      <w:pPr>
        <w:pStyle w:val="Title"/>
      </w:pPr>
      <w:r>
        <w:t>CodJam-Leg4</w:t>
      </w:r>
    </w:p>
    <w:p>
      <w:pPr>
        <w:spacing w:after="280"/>
      </w:pPr>
      <w:r>
        <w:rPr>
          <w:color w:val="596069"/>
          <w:sz w:val="26"/>
        </w:rPr>
        <w:t>Pendências, riscos e prioridades para evolução do projeto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8496"/>
      </w:tblGrid>
      <w:tr>
        <w:trPr>
          <w:cantSplit/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Destinatário</w:t>
            </w:r>
          </w:p>
        </w:tc>
        <w:tc>
          <w:tcPr>
            <w:tcW w:type="dxa" w:w="84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Claude — avaliação técnica interna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Repositório</w:t>
            </w:r>
          </w:p>
        </w:tc>
        <w:tc>
          <w:tcPr>
            <w:tcW w:type="dxa" w:w="84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hyperlink r:id="rId11">
              <w:r>
                <w:rPr>
                  <w:color w:val="0563C1"/>
                  <w:u w:val="single"/>
                </w:rPr>
                <w:t>https://github.com/DarlysonGabriel/CodJam-Leg4</w:t>
              </w:r>
            </w:hyperlink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Escopo</w:t>
            </w:r>
          </w:p>
        </w:tc>
        <w:tc>
          <w:tcPr>
            <w:tcW w:type="dxa" w:w="84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Branch main e branch mensagens-erro-pt; metadados, arquivos acessíveis, commit recente e issues relacionadas.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Data da verificação</w:t>
            </w:r>
          </w:p>
        </w:tc>
        <w:tc>
          <w:tcPr>
            <w:tcW w:type="dxa" w:w="84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t>22 de outubro de 2026</w:t>
            </w:r>
          </w:p>
        </w:tc>
      </w:tr>
    </w:tbl>
    <w:p/>
    <w:p>
      <w:pPr>
        <w:pStyle w:val="Heading1"/>
      </w:pPr>
      <w:r>
        <w:t>1. Parecer executivo</w:t>
      </w:r>
    </w:p>
    <w:p>
      <w:r>
        <w:rPr>
          <w:b/>
        </w:rPr>
        <w:t xml:space="preserve">Minha avaliação é crítica: </w:t>
      </w:r>
      <w:r>
        <w:t>o repositório ainda não demonstra uma base de desenvolvimento reproduzível para o leg4. O estado observado se aproxima mais de um inventário de um JAR antigo, acompanhado de engenharia reversa, propostas e tarefas de manutenção, do que de um projeto com fontes editáveis, compilação reproduzível e validação automatizada.</w:t>
      </w:r>
    </w:p>
    <w:p>
      <w:r>
        <w:rPr>
          <w:b/>
        </w:rPr>
        <w:t xml:space="preserve">O bloqueio prioritário não é adicionar recursos novos. </w:t>
      </w:r>
      <w:r>
        <w:t>É estabelecer qual é a fonte de verdade do código, garantir que as mudanças anunciadas existam de forma rastreável, definir como o programa é compilado e criar uma linha de base de testes. Sem isso, qualquer alteração funcional terá risco elevado de não ser reproduzível ou de introduzir regressões difíceis de isolar.</w:t>
      </w:r>
    </w:p>
    <w:p>
      <w:pPr>
        <w:spacing w:before="40"/>
      </w:pPr>
      <w:r>
        <w:rPr>
          <w:b/>
        </w:rPr>
        <w:t xml:space="preserve">Conclusão recomendada: </w:t>
      </w:r>
      <w:r>
        <w:t>não tratar o repositório como pronto para uma release do leg4 até que os bloqueios P0 abaixo sejam resolvidos.</w:t>
      </w:r>
    </w:p>
    <w:p>
      <w:pPr>
        <w:pStyle w:val="Heading1"/>
      </w:pPr>
      <w:r>
        <w:t>2. Bloqueios prioritários</w:t>
      </w:r>
    </w:p>
    <w:p>
      <w:pPr>
        <w:keepNext/>
        <w:spacing w:before="140" w:after="40"/>
      </w:pPr>
      <w:r>
        <w:rPr>
          <w:b/>
          <w:color w:val="1F4E79"/>
        </w:rPr>
        <w:t>P0 | Fonte de verdade e organização do repositório</w:t>
      </w:r>
    </w:p>
    <w:p>
      <w:pPr>
        <w:keepNext/>
        <w:keepLines/>
        <w:spacing w:after="60"/>
        <w:ind w:left="259"/>
      </w:pPr>
      <w:r>
        <w:rPr>
          <w:b/>
        </w:rPr>
        <w:t xml:space="preserve">Evidência observada: </w:t>
      </w:r>
      <w:r>
        <w:t>A issue #50 descreve o conteúdo como um JAR descompactado, com mais de 10 mil arquivos `.class`, poucos `.java` de terceiros e sem o código-fonte original do Legal. Confirmei que `PNCA/Compiler.class` está presente e `PNCA/Compiler.java` não foi encontrado no caminho esperado. O `Readme.txt` da raiz é sobre o Simbrain 3, não sobre o Legal/leg4.</w:t>
      </w:r>
    </w:p>
    <w:p>
      <w:pPr>
        <w:keepNext/>
        <w:keepLines/>
        <w:spacing w:after="60"/>
        <w:ind w:left="259"/>
      </w:pPr>
      <w:r>
        <w:rPr>
          <w:b/>
        </w:rPr>
        <w:t xml:space="preserve">Risco/impacto: </w:t>
      </w:r>
      <w:r>
        <w:t>Não há uma base de código-fonte própria e claramente editável para manter o produto. Classes compiladas não substituem o fonte necessário para revisão, construção e depuração reproduzíveis.</w:t>
      </w:r>
    </w:p>
    <w:p>
      <w:pPr>
        <w:keepNext w:val="0"/>
        <w:keepLines/>
        <w:spacing w:after="60"/>
        <w:ind w:left="259"/>
      </w:pPr>
      <w:r>
        <w:rPr>
          <w:b/>
        </w:rPr>
        <w:t xml:space="preserve">Recomendação: </w:t>
      </w:r>
      <w:r>
        <w:t>Definir e registrar a estratégia de recuperação ou reconstrução do fonte, separar bibliotecas de terceiros e binários, e documentar a estrutura real do projeto. Não misturar classes extraídas, fontes reconstruídas e artefatos de dependências sem identificação.</w:t>
      </w:r>
    </w:p>
    <w:p>
      <w:pPr>
        <w:keepNext/>
        <w:spacing w:before="140" w:after="40"/>
      </w:pPr>
      <w:r>
        <w:rPr>
          <w:b/>
          <w:color w:val="1F4E79"/>
        </w:rPr>
        <w:t>P0 | Divergência entre patches anunciados e arquivos rastreados</w:t>
      </w:r>
    </w:p>
    <w:p>
      <w:pPr>
        <w:keepNext/>
        <w:keepLines/>
        <w:spacing w:after="60"/>
        <w:ind w:left="259"/>
      </w:pPr>
      <w:r>
        <w:rPr>
          <w:b/>
        </w:rPr>
        <w:t xml:space="preserve">Evidência observada: </w:t>
      </w:r>
      <w:r>
        <w:t>As issues #47 e #93 afirmam que patches de mensagens estão prontos/aplicados e mencionam `aplicar-patches.sh`, `leg4-mensagens-pt.patch` e `leg4-mensagens-pt-etapa5.patch`. Os caminhos esperados não foram encontrados em `main` nem em `mensagens-erro-pt`. O commit mais recente observado adiciona `patch/criar-issues.sh` (script de criação de issues), não o conteúdo dos patches.</w:t>
      </w:r>
    </w:p>
    <w:p>
      <w:pPr>
        <w:keepNext/>
        <w:keepLines/>
        <w:spacing w:after="60"/>
        <w:ind w:left="259"/>
      </w:pPr>
      <w:r>
        <w:rPr>
          <w:b/>
        </w:rPr>
        <w:t xml:space="preserve">Risco/impacto: </w:t>
      </w:r>
      <w:r>
        <w:t>A revisão não consegue reproduzir o estado anunciado a partir dos arquivos versionados. Isso dificulta auditar o que foi alterado, aplicar a mudança em ambiente limpo e verificar se o backlog corresponde ao código disponível.</w:t>
      </w:r>
    </w:p>
    <w:p>
      <w:pPr>
        <w:keepNext w:val="0"/>
        <w:keepLines/>
        <w:spacing w:after="60"/>
        <w:ind w:left="259"/>
      </w:pPr>
      <w:r>
        <w:rPr>
          <w:b/>
        </w:rPr>
        <w:t xml:space="preserve">Recomendação: </w:t>
      </w:r>
      <w:r>
        <w:t>Reconciliar imediatamente as issues com os artefatos reais: versionar os patches e o aplicador corretos, ou corrigir as issues para indicar onde estão e qual o estado verdadeiro. Registrar hash/branch de origem e instruções para reproduzir a aplicação. Não assumir que “patch pronto” significa “validado”.</w:t>
      </w:r>
    </w:p>
    <w:p>
      <w:pPr>
        <w:keepNext/>
        <w:spacing w:before="140" w:after="40"/>
      </w:pPr>
      <w:r>
        <w:rPr>
          <w:b/>
          <w:color w:val="1F4E79"/>
        </w:rPr>
        <w:t>P0 | Build, execução e release não reproduzíveis</w:t>
      </w:r>
    </w:p>
    <w:p>
      <w:pPr>
        <w:keepNext/>
        <w:keepLines/>
        <w:spacing w:after="60"/>
        <w:ind w:left="259"/>
      </w:pPr>
      <w:r>
        <w:rPr>
          <w:b/>
        </w:rPr>
        <w:t xml:space="preserve">Evidência observada: </w:t>
      </w:r>
      <w:r>
        <w:t>A issue #63 registra ausência de processo de build/release e informa que o repositório deriva de um JAR descompactado. Não encontrei `README.md`, `pom.xml`, `build.gradle` ou o workflow esperado nos caminhos pesquisados. A issue #62 também deixa em aberto a versão mínima de Java e a compatibilidade das bibliotecas nativas.</w:t>
      </w:r>
    </w:p>
    <w:p>
      <w:pPr>
        <w:keepNext/>
        <w:keepLines/>
        <w:spacing w:after="60"/>
        <w:ind w:left="259"/>
      </w:pPr>
      <w:r>
        <w:rPr>
          <w:b/>
        </w:rPr>
        <w:t xml:space="preserve">Risco/impacto: </w:t>
      </w:r>
      <w:r>
        <w:t>Um colaborador novo não tem um caminho confiável e documentado para preparar dependências, compilar, executar e empacotar o programa. Não existe um critério objetivo de “construção bem-sucedida”.</w:t>
      </w:r>
    </w:p>
    <w:p>
      <w:pPr>
        <w:keepNext w:val="0"/>
        <w:keepLines/>
        <w:spacing w:after="60"/>
        <w:ind w:left="259"/>
      </w:pPr>
      <w:r>
        <w:rPr>
          <w:b/>
        </w:rPr>
        <w:t xml:space="preserve">Recomendação: </w:t>
      </w:r>
      <w:r>
        <w:t>Antes de automatizar publicações, definir os artefatos-fonte e o ambiente suportado; documentar instalação/execução e versões mínimas; só então criar build limpo e workflow de CI/release.</w:t>
      </w:r>
    </w:p>
    <w:p>
      <w:pPr>
        <w:keepNext/>
        <w:spacing w:before="140" w:after="40"/>
      </w:pPr>
      <w:r>
        <w:rPr>
          <w:b/>
          <w:color w:val="1F4E79"/>
        </w:rPr>
        <w:t>P0 | Ausência de uma linha de base de testes verificável</w:t>
      </w:r>
    </w:p>
    <w:p>
      <w:pPr>
        <w:keepNext/>
        <w:keepLines/>
        <w:spacing w:after="60"/>
        <w:ind w:left="259"/>
      </w:pPr>
      <w:r>
        <w:rPr>
          <w:b/>
        </w:rPr>
        <w:t xml:space="preserve">Evidência observada: </w:t>
      </w:r>
      <w:r>
        <w:t>As issues de mensagens (#47 e #93) dizem explicitamente que casos de teste ainda aguardam validação no Legal. A issue #64 pede validar exemplos documentais com programas reais. A issue #56 pede reunir arquivos `.leg3` reais e comparar o código gerado antes/depois.</w:t>
      </w:r>
    </w:p>
    <w:p>
      <w:pPr>
        <w:keepNext/>
        <w:keepLines/>
        <w:spacing w:after="60"/>
        <w:ind w:left="259"/>
      </w:pPr>
      <w:r>
        <w:rPr>
          <w:b/>
        </w:rPr>
        <w:t xml:space="preserve">Risco/impacto: </w:t>
      </w:r>
      <w:r>
        <w:t>Alterações em textos de erro, tokenização, compilação ou compatibilidade podem parecer corretas no patch e falhar no comportamento do IDE, no código gerado ou no envio ao robô.</w:t>
      </w:r>
    </w:p>
    <w:p>
      <w:pPr>
        <w:keepNext w:val="0"/>
        <w:keepLines/>
        <w:spacing w:after="60"/>
        <w:ind w:left="259"/>
      </w:pPr>
      <w:r>
        <w:rPr>
          <w:b/>
        </w:rPr>
        <w:t xml:space="preserve">Recomendação: </w:t>
      </w:r>
      <w:r>
        <w:t>Criar uma matriz mínima de testes com programas válidos e inválidos, mensagens esperadas, valores-limite e fixtures reais `.leg3`. Executar testes no programa alvo; registrar resultados e saída gerada. Automatizar o que for possível depois que houver build reproduzível.</w:t>
      </w:r>
    </w:p>
    <w:p>
      <w:pPr>
        <w:pStyle w:val="Heading1"/>
      </w:pPr>
      <w:r>
        <w:t>3. Decisões de produto e arquitetura ainda abertas</w:t>
      </w:r>
    </w:p>
    <w:p>
      <w:pPr>
        <w:keepNext/>
        <w:spacing w:before="140" w:after="40"/>
      </w:pPr>
      <w:r>
        <w:rPr>
          <w:b/>
          <w:color w:val="1F4E79"/>
        </w:rPr>
        <w:t>P1 | Semântica da linguagem leg4 ainda não fechada</w:t>
      </w:r>
    </w:p>
    <w:p>
      <w:pPr>
        <w:keepNext/>
        <w:keepLines/>
        <w:spacing w:after="60"/>
        <w:ind w:left="259"/>
      </w:pPr>
      <w:r>
        <w:rPr>
          <w:b/>
        </w:rPr>
        <w:t xml:space="preserve">Evidência observada: </w:t>
      </w:r>
      <w:r>
        <w:t>A issue #54 deixa em aberto a semântica de `Ação`, a ordem de execução entre chamadas como `andar()` e `detectar()` e o papel da concorrência. A issue #57 depende dessa decisão para misturar blocos visuais e código textual. A issue #59 lista tipos pretendidos e limites impostos pelo firmware.</w:t>
      </w:r>
    </w:p>
    <w:p>
      <w:pPr>
        <w:keepNext/>
        <w:keepLines/>
        <w:spacing w:after="60"/>
        <w:ind w:left="259"/>
      </w:pPr>
      <w:r>
        <w:rPr>
          <w:b/>
        </w:rPr>
        <w:t xml:space="preserve">Risco/impacto: </w:t>
      </w:r>
      <w:r>
        <w:t>Implementar sintaxe antes de decidir a semântica gera retrabalho e incompatibilidades. O firmware e o conjunto de instruções do Montador são restrições concretas, não detalhes que possam ser resolvidos apenas na interface.</w:t>
      </w:r>
    </w:p>
    <w:p>
      <w:pPr>
        <w:keepNext w:val="0"/>
        <w:keepLines/>
        <w:spacing w:after="60"/>
        <w:ind w:left="259"/>
      </w:pPr>
      <w:r>
        <w:rPr>
          <w:b/>
        </w:rPr>
        <w:t xml:space="preserve">Recomendação: </w:t>
      </w:r>
      <w:r>
        <w:t>Escrever uma especificação curta antes de implementar: gramática, ordem de execução, chamadas, eventos, tipos, limites, comportamento de erros e correspondência para instruções do Montador. Separar requisitos confirmados de hipóteses derivadas do código decompilado.</w:t>
      </w:r>
    </w:p>
    <w:p>
      <w:pPr>
        <w:keepNext/>
        <w:spacing w:before="140" w:after="40"/>
      </w:pPr>
      <w:r>
        <w:rPr>
          <w:b/>
          <w:color w:val="1F4E79"/>
        </w:rPr>
        <w:t>P1 | Compatibilidade com arquivos antigos sem corpus de regressão</w:t>
      </w:r>
    </w:p>
    <w:p>
      <w:pPr>
        <w:keepNext/>
        <w:keepLines/>
        <w:spacing w:after="60"/>
        <w:ind w:left="259"/>
      </w:pPr>
      <w:r>
        <w:rPr>
          <w:b/>
        </w:rPr>
        <w:t xml:space="preserve">Evidência observada: </w:t>
      </w:r>
      <w:r>
        <w:t>A issue #56 menciona formatos `LEGAL V03`, `V04` e `V05`, seções específicas e codificação latin1, mas solicita reunir arquivos reais de teste e definir o aviso de legado.</w:t>
      </w:r>
    </w:p>
    <w:p>
      <w:pPr>
        <w:keepNext/>
        <w:keepLines/>
        <w:spacing w:after="60"/>
        <w:ind w:left="259"/>
      </w:pPr>
      <w:r>
        <w:rPr>
          <w:b/>
        </w:rPr>
        <w:t xml:space="preserve">Risco/impacto: </w:t>
      </w:r>
      <w:r>
        <w:t>Mudanças na linguagem, editor ou carregador podem quebrar projetos existentes sem que a equipe perceba antes da entrega.</w:t>
      </w:r>
    </w:p>
    <w:p>
      <w:pPr>
        <w:keepNext w:val="0"/>
        <w:keepLines/>
        <w:spacing w:after="60"/>
        <w:ind w:left="259"/>
      </w:pPr>
      <w:r>
        <w:rPr>
          <w:b/>
        </w:rPr>
        <w:t xml:space="preserve">Recomendação: </w:t>
      </w:r>
      <w:r>
        <w:t>Criar um corpus versionado de exemplos legítimos `.leg3`; definir quais versões serão suportadas; preservar a saída do compilador/Montador como referência; declarar explicitamente arquivos não suportados e a mensagem apresentada ao usuário.</w:t>
      </w:r>
    </w:p>
    <w:p>
      <w:pPr>
        <w:keepNext/>
        <w:spacing w:before="140" w:after="40"/>
      </w:pPr>
      <w:r>
        <w:rPr>
          <w:b/>
          <w:color w:val="1F4E79"/>
        </w:rPr>
        <w:t>P1 | Compilador difícil de manter e revisar</w:t>
      </w:r>
    </w:p>
    <w:p>
      <w:pPr>
        <w:keepNext/>
        <w:keepLines/>
        <w:spacing w:after="60"/>
        <w:ind w:left="259"/>
      </w:pPr>
      <w:r>
        <w:rPr>
          <w:b/>
        </w:rPr>
        <w:t xml:space="preserve">Evidência observada: </w:t>
      </w:r>
      <w:r>
        <w:t>A issue #52 descreve `PNCA/Compiler` como uma classe de aproximadamente 6.400 linhas, com análise de uma passagem que emite instruções diretamente. A issue #53 relata IDs numéricos de tokens sem nomes simbólicos e ambiguidades de vocabulário, como `ré` e `até` (#55).</w:t>
      </w:r>
    </w:p>
    <w:p>
      <w:pPr>
        <w:keepNext/>
        <w:keepLines/>
        <w:spacing w:after="60"/>
        <w:ind w:left="259"/>
      </w:pPr>
      <w:r>
        <w:rPr>
          <w:b/>
        </w:rPr>
        <w:t xml:space="preserve">Risco/impacto: </w:t>
      </w:r>
      <w:r>
        <w:t>A compreensão do comportamento depende de conhecimento implícito e leitura extensa. Alterações pequenas podem ter efeitos colaterais em vários comandos, enquanto a ausência de fonte original torna a inspeção ainda mais frágil.</w:t>
      </w:r>
    </w:p>
    <w:p>
      <w:pPr>
        <w:keepNext w:val="0"/>
        <w:keepLines/>
        <w:spacing w:after="60"/>
        <w:ind w:left="259"/>
      </w:pPr>
      <w:r>
        <w:rPr>
          <w:b/>
        </w:rPr>
        <w:t xml:space="preserve">Recomendação: </w:t>
      </w:r>
      <w:r>
        <w:t>Primeiro documentar os IDs e comportamentos existentes sem alterar a semântica. Depois, com testes de regressão, decidir se a evolução será incremental ou se haverá um front-end novo. Não iniciar uma reescrita ampla sem especificação e testes.</w:t>
      </w:r>
    </w:p>
    <w:p>
      <w:pPr>
        <w:keepNext/>
        <w:spacing w:before="140" w:after="40"/>
      </w:pPr>
      <w:r>
        <w:rPr>
          <w:b/>
          <w:color w:val="1F4E79"/>
        </w:rPr>
        <w:t>P1 | Licenças e proveniência dos componentes não consolidadas</w:t>
      </w:r>
    </w:p>
    <w:p>
      <w:pPr>
        <w:keepNext/>
        <w:keepLines/>
        <w:spacing w:after="60"/>
        <w:ind w:left="259"/>
      </w:pPr>
      <w:r>
        <w:rPr>
          <w:b/>
        </w:rPr>
        <w:t xml:space="preserve">Evidência observada: </w:t>
      </w:r>
      <w:r>
        <w:t>A issue #51 pede revisão de licenças/créditos e menciona bibliotecas de terceiros com condições diferentes, incluindo Simbrain e Hamcrest. `LICENSE.txt` e `Readme.txt` presentes na raiz são materiais de dependências, não um aviso de licença claramente definido para o projeto inteiro.</w:t>
      </w:r>
    </w:p>
    <w:p>
      <w:pPr>
        <w:keepNext/>
        <w:keepLines/>
        <w:spacing w:after="60"/>
        <w:ind w:left="259"/>
      </w:pPr>
      <w:r>
        <w:rPr>
          <w:b/>
        </w:rPr>
        <w:t xml:space="preserve">Risco/impacto: </w:t>
      </w:r>
      <w:r>
        <w:t>A redistribuição de fontes, bibliotecas ou binários pode estar sujeita a obrigações diferentes. A presença de arquivos de licença isolados não determina por si só se a distribuição pretendida está em conformidade.</w:t>
      </w:r>
    </w:p>
    <w:p>
      <w:pPr>
        <w:keepNext w:val="0"/>
        <w:keepLines/>
        <w:spacing w:after="60"/>
        <w:ind w:left="259"/>
      </w:pPr>
      <w:r>
        <w:rPr>
          <w:b/>
        </w:rPr>
        <w:t xml:space="preserve">Recomendação: </w:t>
      </w:r>
      <w:r>
        <w:t>Inventariar bibliotecas, versões, origem, licença e arquivos incluídos; verificar a titularidade do código Legal e as obrigações aplicáveis antes de publicar. Criar aviso de terceiros e licença do projeto somente depois de confirmar os direitos correspondentes.</w:t>
      </w:r>
    </w:p>
    <w:p>
      <w:pPr>
        <w:keepNext/>
        <w:spacing w:before="140" w:after="40"/>
      </w:pPr>
      <w:r>
        <w:rPr>
          <w:b/>
          <w:color w:val="1F4E79"/>
        </w:rPr>
        <w:t>P1 | Compatibilidade com Java e portas seriais não comprovada</w:t>
      </w:r>
    </w:p>
    <w:p>
      <w:pPr>
        <w:keepNext/>
        <w:keepLines/>
        <w:spacing w:after="60"/>
        <w:ind w:left="259"/>
      </w:pPr>
      <w:r>
        <w:rPr>
          <w:b/>
        </w:rPr>
        <w:t xml:space="preserve">Evidência observada: </w:t>
      </w:r>
      <w:r>
        <w:t>A issue #62 informa que componentes foram compilados para Java 6/7 e que o repositório inclui bibliotecas nativas de portas seriais para diversos sistemas. A própria issue pede testes em Java moderno e confirmação das plataformas suportadas.</w:t>
      </w:r>
    </w:p>
    <w:p>
      <w:pPr>
        <w:keepNext/>
        <w:keepLines/>
        <w:spacing w:after="60"/>
        <w:ind w:left="259"/>
      </w:pPr>
      <w:r>
        <w:rPr>
          <w:b/>
        </w:rPr>
        <w:t xml:space="preserve">Risco/impacto: </w:t>
      </w:r>
      <w:r>
        <w:t>O fato de existirem binários para diferentes sistemas não garante que o programa execute ou que a comunicação com o robô funcione nessas plataformas.</w:t>
      </w:r>
    </w:p>
    <w:p>
      <w:pPr>
        <w:keepNext w:val="0"/>
        <w:keepLines/>
        <w:spacing w:after="60"/>
        <w:ind w:left="259"/>
      </w:pPr>
      <w:r>
        <w:rPr>
          <w:b/>
        </w:rPr>
        <w:t xml:space="preserve">Recomendação: </w:t>
      </w:r>
      <w:r>
        <w:t>Escolher uma versão mínima de Java suportada e executar smoke tests reais por sistema operacional/arquitetura. Documentar separadamente compatibilidade da interface, compilação e comunicação serial.</w:t>
      </w:r>
    </w:p>
    <w:p>
      <w:pPr>
        <w:pStyle w:val="Heading1"/>
      </w:pPr>
      <w:r>
        <w:t>4. Pendências de qualidade e usabilidade</w:t>
      </w:r>
    </w:p>
    <w:p>
      <w:pPr>
        <w:keepNext/>
        <w:spacing w:before="140" w:after="40"/>
      </w:pPr>
      <w:r>
        <w:rPr>
          <w:b/>
          <w:color w:val="1F4E79"/>
        </w:rPr>
        <w:t>P1 | Internacionalização pode exibir mensagens no idioma errado</w:t>
      </w:r>
    </w:p>
    <w:p>
      <w:pPr>
        <w:keepNext/>
        <w:keepLines/>
        <w:spacing w:after="60"/>
        <w:ind w:left="259"/>
      </w:pPr>
      <w:r>
        <w:rPr>
          <w:b/>
        </w:rPr>
        <w:t xml:space="preserve">Evidência observada: </w:t>
      </w:r>
      <w:r>
        <w:t>A issue #48 registra textos em inglês que aparecem em português, limites incorretos em inglês/espanhol e uma mensagem espanhola em português. A issue #49 lista problemas de ortografia, pontuação e capitalização em itens da interface e pede revisão de cerca de 190 textos.</w:t>
      </w:r>
    </w:p>
    <w:p>
      <w:pPr>
        <w:keepNext/>
        <w:keepLines/>
        <w:spacing w:after="60"/>
        <w:ind w:left="259"/>
      </w:pPr>
      <w:r>
        <w:rPr>
          <w:b/>
        </w:rPr>
        <w:t xml:space="preserve">Risco/impacto: </w:t>
      </w:r>
      <w:r>
        <w:t>Correções feitas apenas na tabela portuguesa podem degradar outros idiomas ou deixar mensagens divergentes dos limites reais aceitos pelo compilador.</w:t>
      </w:r>
    </w:p>
    <w:p>
      <w:pPr>
        <w:keepNext w:val="0"/>
        <w:keepLines/>
        <w:spacing w:after="60"/>
        <w:ind w:left="259"/>
      </w:pPr>
      <w:r>
        <w:rPr>
          <w:b/>
        </w:rPr>
        <w:t xml:space="preserve">Recomendação: </w:t>
      </w:r>
      <w:r>
        <w:t>Separar as tabelas por idioma, revisar todas as entradas e validar que cada mensagem reflita o comportamento real. Incluir testes de consistência para mensagens que compartilham código e para limites numéricos.</w:t>
      </w:r>
    </w:p>
    <w:p>
      <w:pPr>
        <w:keepNext/>
        <w:spacing w:before="140" w:after="40"/>
      </w:pPr>
      <w:r>
        <w:rPr>
          <w:b/>
          <w:color w:val="1F4E79"/>
        </w:rPr>
        <w:t>P2 | Escopo atual do IDE não foi inventariado</w:t>
      </w:r>
    </w:p>
    <w:p>
      <w:pPr>
        <w:keepNext/>
        <w:keepLines/>
        <w:spacing w:after="60"/>
        <w:ind w:left="259"/>
      </w:pPr>
      <w:r>
        <w:rPr>
          <w:b/>
        </w:rPr>
        <w:t xml:space="preserve">Evidência observada: </w:t>
      </w:r>
      <w:r>
        <w:t>A issue #61 pede listar recursos que devem ser preservados, incluindo Controlar, Coletar Dados, simulador e conexão em rede. A mesma issue registra limitações do simulador para determinados sensores/atuadores.</w:t>
      </w:r>
    </w:p>
    <w:p>
      <w:pPr>
        <w:keepNext/>
        <w:keepLines/>
        <w:spacing w:after="60"/>
        <w:ind w:left="259"/>
      </w:pPr>
      <w:r>
        <w:rPr>
          <w:b/>
        </w:rPr>
        <w:t xml:space="preserve">Risco/impacto: </w:t>
      </w:r>
      <w:r>
        <w:t>Sem inventário, a evolução pode remover ou regredir recursos utilizados por estudantes/professores sem uma decisão explícita.</w:t>
      </w:r>
    </w:p>
    <w:p>
      <w:pPr>
        <w:keepNext w:val="0"/>
        <w:keepLines/>
        <w:spacing w:after="60"/>
        <w:ind w:left="259"/>
      </w:pPr>
      <w:r>
        <w:rPr>
          <w:b/>
        </w:rPr>
        <w:t xml:space="preserve">Recomendação: </w:t>
      </w:r>
      <w:r>
        <w:t>Criar matriz de funcionalidades com estado atual, prioridade, responsável e decisão para leg4: manter, substituir, adiar ou remover.</w:t>
      </w:r>
    </w:p>
    <w:p>
      <w:pPr>
        <w:keepNext/>
        <w:spacing w:before="140" w:after="40"/>
      </w:pPr>
      <w:r>
        <w:rPr>
          <w:b/>
          <w:color w:val="1F4E79"/>
        </w:rPr>
        <w:t>P2 | Feedback de limites físicos e configuração de sensores insuficiente</w:t>
      </w:r>
    </w:p>
    <w:p>
      <w:pPr>
        <w:keepNext/>
        <w:keepLines/>
        <w:spacing w:after="60"/>
        <w:ind w:left="259"/>
      </w:pPr>
      <w:r>
        <w:rPr>
          <w:b/>
        </w:rPr>
        <w:t xml:space="preserve">Evidência observada: </w:t>
      </w:r>
      <w:r>
        <w:t>A issue #60 descreve limite de memória do programa no robô de 4000 e sugere aviso antes do erro final. A issue #58 propõe aproveitar a detecção de portas já usada no envio para reduzir a necessidade de memorizar conexões.</w:t>
      </w:r>
    </w:p>
    <w:p>
      <w:pPr>
        <w:keepNext/>
        <w:keepLines/>
        <w:spacing w:after="60"/>
        <w:ind w:left="259"/>
      </w:pPr>
      <w:r>
        <w:rPr>
          <w:b/>
        </w:rPr>
        <w:t xml:space="preserve">Risco/impacto: </w:t>
      </w:r>
      <w:r>
        <w:t>Erros previsíveis são detectados tarde e parte da configuração fica na memória do aluno, em vez de ser explicitada pelo IDE.</w:t>
      </w:r>
    </w:p>
    <w:p>
      <w:pPr>
        <w:keepNext w:val="0"/>
        <w:keepLines/>
        <w:spacing w:after="60"/>
        <w:ind w:left="259"/>
      </w:pPr>
      <w:r>
        <w:rPr>
          <w:b/>
        </w:rPr>
        <w:t xml:space="preserve">Recomendação: </w:t>
      </w:r>
      <w:r>
        <w:t>Depois de confirmar a API disponível, priorizar indicador de memória e validação antecipada. Avaliar declaração/nomeação de sensores e sugestões de porta como funcionalidades separadas, sem assumir que a interface pode modificar o firmware.</w:t>
      </w:r>
    </w:p>
    <w:p>
      <w:pPr>
        <w:keepNext/>
        <w:spacing w:before="140" w:after="40"/>
      </w:pPr>
      <w:r>
        <w:rPr>
          <w:b/>
          <w:color w:val="1F4E79"/>
        </w:rPr>
        <w:t>P2 | Tutoriais e onboarding não estão documentados como entregáveis</w:t>
      </w:r>
    </w:p>
    <w:p>
      <w:pPr>
        <w:keepNext/>
        <w:keepLines/>
        <w:spacing w:after="60"/>
        <w:ind w:left="259"/>
      </w:pPr>
      <w:r>
        <w:rPr>
          <w:b/>
        </w:rPr>
        <w:t xml:space="preserve">Evidência observada: </w:t>
      </w:r>
      <w:r>
        <w:t>A issue #65 propõe tutoriais de montagem e desafios graduais; a issue #64 pede documentação da linguagem e do compilador. Não há README próprio do produto no caminho padrão consultado.</w:t>
      </w:r>
    </w:p>
    <w:p>
      <w:pPr>
        <w:keepNext/>
        <w:keepLines/>
        <w:spacing w:after="60"/>
        <w:ind w:left="259"/>
      </w:pPr>
      <w:r>
        <w:rPr>
          <w:b/>
        </w:rPr>
        <w:t xml:space="preserve">Risco/impacto: </w:t>
      </w:r>
      <w:r>
        <w:t>Contribuidores e usuários não têm uma referência central de instalação, primeiros passos, recursos suportados e limitações conhecidas.</w:t>
      </w:r>
    </w:p>
    <w:p>
      <w:pPr>
        <w:keepNext w:val="0"/>
        <w:keepLines/>
        <w:spacing w:after="60"/>
        <w:ind w:left="259"/>
      </w:pPr>
      <w:r>
        <w:rPr>
          <w:b/>
        </w:rPr>
        <w:t xml:space="preserve">Recomendação: </w:t>
      </w:r>
      <w:r>
        <w:t>Criar documentação inicial mínima após validar o estado real: finalidade do projeto, requisitos, como executar, exemplos de programas, limitações, formato legado, dispositivos suportados e como reportar defeitos.</w:t>
      </w:r>
    </w:p>
    <w:p>
      <w:pPr>
        <w:keepNext/>
        <w:spacing w:before="140" w:after="40"/>
      </w:pPr>
      <w:r>
        <w:rPr>
          <w:b/>
          <w:color w:val="1F4E79"/>
        </w:rPr>
        <w:t>P2 | Higiene do repositório e artefatos de terceiros</w:t>
      </w:r>
    </w:p>
    <w:p>
      <w:pPr>
        <w:keepNext/>
        <w:keepLines/>
        <w:spacing w:after="60"/>
        <w:ind w:left="259"/>
      </w:pPr>
      <w:r>
        <w:rPr>
          <w:b/>
        </w:rPr>
        <w:t xml:space="preserve">Evidência observada: </w:t>
      </w:r>
      <w:r>
        <w:t>A issue #50 menciona arquivos de teste soltos, JAR de ferramentas, dicionários e configurações de IDE misturados ao conteúdo do produto. O commit atual acrescenta ainda um script extenso de criação de issues em `patch/criar-issues.sh`.</w:t>
      </w:r>
    </w:p>
    <w:p>
      <w:pPr>
        <w:keepNext/>
        <w:keepLines/>
        <w:spacing w:after="60"/>
        <w:ind w:left="259"/>
      </w:pPr>
      <w:r>
        <w:rPr>
          <w:b/>
        </w:rPr>
        <w:t xml:space="preserve">Risco/impacto: </w:t>
      </w:r>
      <w:r>
        <w:t>Fica difícil distinguir fonte do produto, binários necessários, arquivos gerados, documentação de bibliotecas e ferramentas de apoio.</w:t>
      </w:r>
    </w:p>
    <w:p>
      <w:pPr>
        <w:keepNext w:val="0"/>
        <w:keepLines/>
        <w:spacing w:after="60"/>
        <w:ind w:left="259"/>
      </w:pPr>
      <w:r>
        <w:rPr>
          <w:b/>
        </w:rPr>
        <w:t xml:space="preserve">Recomendação: </w:t>
      </w:r>
      <w:r>
        <w:t>Definir diretórios e critérios de inclusão; adicionar `.gitignore` apropriado; retirar arquivos temporários somente após verificar se são necessários; preservar metadados/licenças das dependências e documentar os scripts de manutenção.</w:t>
      </w:r>
    </w:p>
    <w:p>
      <w:pPr>
        <w:pStyle w:val="Heading1"/>
      </w:pPr>
      <w:r>
        <w:t>5. Ordem de trabalho recomendada</w:t>
      </w:r>
    </w:p>
    <w:p>
      <w:pPr>
        <w:pStyle w:val="ListNumber"/>
        <w:spacing w:after="80"/>
      </w:pPr>
      <w:r>
        <w:rPr>
          <w:b/>
        </w:rPr>
        <w:t xml:space="preserve">Fechar a fonte de verdade. </w:t>
      </w:r>
      <w:r>
        <w:t>Decidir como será obtido e mantido o código-fonte; identificar o que é binário de terceiros e o que é produto.</w:t>
      </w:r>
    </w:p>
    <w:p>
      <w:pPr>
        <w:pStyle w:val="ListNumber"/>
        <w:spacing w:after="80"/>
      </w:pPr>
      <w:r>
        <w:rPr>
          <w:b/>
        </w:rPr>
        <w:t xml:space="preserve">Resolver a divergência de patches. </w:t>
      </w:r>
      <w:r>
        <w:t>Conferir o estado real das mudanças de mensagens e fazer com que os commits, patches, issues e branches contem a mesma história.</w:t>
      </w:r>
    </w:p>
    <w:p>
      <w:pPr>
        <w:pStyle w:val="ListNumber"/>
        <w:spacing w:after="80"/>
      </w:pPr>
      <w:r>
        <w:rPr>
          <w:b/>
        </w:rPr>
        <w:t xml:space="preserve">Tornar o build reproduzível. </w:t>
      </w:r>
      <w:r>
        <w:t>Definir Java mínimo, dependências, execução local e empacotamento; depois estabelecer CI e releases.</w:t>
      </w:r>
    </w:p>
    <w:p>
      <w:pPr>
        <w:pStyle w:val="ListNumber"/>
        <w:spacing w:after="80"/>
      </w:pPr>
      <w:r>
        <w:rPr>
          <w:b/>
        </w:rPr>
        <w:t xml:space="preserve">Construir testes de referência. </w:t>
      </w:r>
      <w:r>
        <w:t>Testar mensagens de erro, limites, programas válidos, compilação para Montador e arquivos `.leg3`.</w:t>
      </w:r>
    </w:p>
    <w:p>
      <w:pPr>
        <w:pStyle w:val="ListNumber"/>
        <w:spacing w:after="80"/>
      </w:pPr>
      <w:r>
        <w:rPr>
          <w:b/>
        </w:rPr>
        <w:t xml:space="preserve">Registrar a especificação do leg4. </w:t>
      </w:r>
      <w:r>
        <w:t>Decidir `Ação`, concorrência, tipos, eventos, ambiguidades e limitações do firmware.</w:t>
      </w:r>
    </w:p>
    <w:p>
      <w:pPr>
        <w:pStyle w:val="ListNumber"/>
        <w:spacing w:after="80"/>
      </w:pPr>
      <w:r>
        <w:rPr>
          <w:b/>
        </w:rPr>
        <w:t xml:space="preserve">Concluir a revisão de proveniência e licenças. </w:t>
      </w:r>
      <w:r>
        <w:t>Fazer a triagem antes de qualquer distribuição pública.</w:t>
      </w:r>
    </w:p>
    <w:p>
      <w:pPr>
        <w:pStyle w:val="ListNumber"/>
        <w:spacing w:after="80"/>
      </w:pPr>
      <w:r>
        <w:rPr>
          <w:b/>
        </w:rPr>
        <w:t xml:space="preserve">Só então priorizar melhorias visíveis. </w:t>
      </w:r>
      <w:r>
        <w:t>Organizar internacionalização, funcionalidades do IDE, estimativa de memória, sensores e tutoriais por valor e esforço.</w:t>
      </w:r>
    </w:p>
    <w:p>
      <w:pPr>
        <w:pStyle w:val="Heading1"/>
      </w:pPr>
      <w:r>
        <w:t>6. Limites desta avaliação</w:t>
      </w:r>
    </w:p>
    <w:p>
      <w:r>
        <w:t>Esta é uma revisão estática do conteúdo acessível no GitHub em 22/10/2026: metadados, duas branches conhecidas, commit recente, arquivos selecionados e issues relacionadas. Não executei o programa, não compilei o JAR, não conectei hardware e não validei funcionalmente as mensagens. Portanto, o documento distingue fatos observados no repositório de riscos e recomendações; não afirma que um comportamento runtime foi reproduzido.</w:t>
      </w:r>
    </w:p>
    <w:p>
      <w:pPr>
        <w:pStyle w:val="Heading1"/>
      </w:pPr>
      <w:r>
        <w:t>7. Parecer final ao Claude</w:t>
      </w:r>
    </w:p>
    <w:p>
      <w:r>
        <w:rPr>
          <w:b/>
        </w:rPr>
        <w:t xml:space="preserve">Claude, minha recomendação é não ampliar o escopo funcional neste momento. </w:t>
      </w:r>
      <w:r>
        <w:t>O projeto precisa primeiro sair de um estado de engenharia reversa e planejamento parcialmente rastreado para uma base que qualquer colaborador consiga reconstruir, executar e testar. A prioridade é fonte, rastreabilidade, build e testes; a modernização da linguagem e a melhoria da experiência do IDE devem vir apoiadas nesses fundamentos. Sem essa sequência, o volume de tarefas abertas tende a crescer enquanto a equipe continua sem garantia de que as alterações estejam efetivamente aplicadas e validadas.</w:t>
      </w:r>
    </w:p>
    <w:p>
      <w:pPr>
        <w:pStyle w:val="Heading1"/>
      </w:pPr>
      <w:r>
        <w:t>Fontes consultadas</w:t>
      </w:r>
    </w:p>
    <w:p>
      <w:pPr>
        <w:spacing w:after="100"/>
      </w:pPr>
      <w:r>
        <w:t>Referências diretas do próprio repositório. As issues descrevem o estado e as pendências registradas pelos responsáveis; tratei as afirmações sobre comportamento ainda não testado como itens a verificar, não como confirmação de execução.</w:t>
      </w:r>
    </w:p>
    <w:p>
      <w:pPr>
        <w:pStyle w:val="ListBullet"/>
        <w:spacing w:after="20"/>
      </w:pPr>
      <w:hyperlink r:id="rId11">
        <w:r>
          <w:rPr>
            <w:color w:val="0563C1"/>
            <w:u w:val="single"/>
          </w:rPr>
          <w:t>Repositório principal</w:t>
        </w:r>
      </w:hyperlink>
    </w:p>
    <w:p>
      <w:pPr>
        <w:pStyle w:val="ListBullet"/>
        <w:spacing w:after="20"/>
      </w:pPr>
      <w:hyperlink r:id="rId12">
        <w:r>
          <w:rPr>
            <w:color w:val="0563C1"/>
            <w:u w:val="single"/>
          </w:rPr>
          <w:t>Commit mais recente observado — “poucas mudanças”</w:t>
        </w:r>
      </w:hyperlink>
    </w:p>
    <w:p>
      <w:pPr>
        <w:pStyle w:val="ListBullet"/>
        <w:spacing w:after="20"/>
      </w:pPr>
      <w:hyperlink r:id="rId13">
        <w:r>
          <w:rPr>
            <w:color w:val="0563C1"/>
            <w:u w:val="single"/>
          </w:rPr>
          <w:t>Issue #47 — mensagens em português, patch aguardando teste</w:t>
        </w:r>
      </w:hyperlink>
    </w:p>
    <w:p>
      <w:pPr>
        <w:pStyle w:val="ListBullet"/>
        <w:spacing w:after="20"/>
      </w:pPr>
      <w:hyperlink r:id="rId14">
        <w:r>
          <w:rPr>
            <w:color w:val="0563C1"/>
            <w:u w:val="single"/>
          </w:rPr>
          <w:t>Issue #48 — inconsistências em inglês e espanhol</w:t>
        </w:r>
      </w:hyperlink>
    </w:p>
    <w:p>
      <w:pPr>
        <w:pStyle w:val="ListBullet"/>
        <w:spacing w:after="20"/>
      </w:pPr>
      <w:hyperlink r:id="rId15">
        <w:r>
          <w:rPr>
            <w:color w:val="0563C1"/>
            <w:u w:val="single"/>
          </w:rPr>
          <w:t>Issue #49 — revisão dos textos da interface</w:t>
        </w:r>
      </w:hyperlink>
    </w:p>
    <w:p>
      <w:pPr>
        <w:pStyle w:val="ListBullet"/>
        <w:spacing w:after="20"/>
      </w:pPr>
      <w:hyperlink r:id="rId16">
        <w:r>
          <w:rPr>
            <w:color w:val="0563C1"/>
            <w:u w:val="single"/>
          </w:rPr>
          <w:t>Issue #50 — estrutura baseada em JAR descompactado</w:t>
        </w:r>
      </w:hyperlink>
    </w:p>
    <w:p>
      <w:pPr>
        <w:pStyle w:val="ListBullet"/>
        <w:spacing w:after="20"/>
      </w:pPr>
      <w:hyperlink r:id="rId17">
        <w:r>
          <w:rPr>
            <w:color w:val="0563C1"/>
            <w:u w:val="single"/>
          </w:rPr>
          <w:t>Issue #51 — licenças e créditos</w:t>
        </w:r>
      </w:hyperlink>
    </w:p>
    <w:p>
      <w:pPr>
        <w:pStyle w:val="ListBullet"/>
        <w:spacing w:after="20"/>
      </w:pPr>
      <w:hyperlink r:id="rId18">
        <w:r>
          <w:rPr>
            <w:color w:val="0563C1"/>
            <w:u w:val="single"/>
          </w:rPr>
          <w:t>Issue #52 — arquitetura do compilador</w:t>
        </w:r>
      </w:hyperlink>
    </w:p>
    <w:p>
      <w:pPr>
        <w:pStyle w:val="ListBullet"/>
        <w:spacing w:after="20"/>
      </w:pPr>
      <w:hyperlink r:id="rId19">
        <w:r>
          <w:rPr>
            <w:color w:val="0563C1"/>
            <w:u w:val="single"/>
          </w:rPr>
          <w:t>Issue #53 — IDs numéricos de tokens</w:t>
        </w:r>
      </w:hyperlink>
    </w:p>
    <w:p>
      <w:pPr>
        <w:pStyle w:val="ListBullet"/>
        <w:spacing w:after="20"/>
      </w:pPr>
      <w:hyperlink r:id="rId20">
        <w:r>
          <w:rPr>
            <w:color w:val="0563C1"/>
            <w:u w:val="single"/>
          </w:rPr>
          <w:t>Issue #54 — semântica de Ação e execução</w:t>
        </w:r>
      </w:hyperlink>
    </w:p>
    <w:p>
      <w:pPr>
        <w:pStyle w:val="ListBullet"/>
        <w:spacing w:after="20"/>
      </w:pPr>
      <w:hyperlink r:id="rId21">
        <w:r>
          <w:rPr>
            <w:color w:val="0563C1"/>
            <w:u w:val="single"/>
          </w:rPr>
          <w:t>Issue #56 — compatibilidade .leg3</w:t>
        </w:r>
      </w:hyperlink>
    </w:p>
    <w:p>
      <w:pPr>
        <w:pStyle w:val="ListBullet"/>
        <w:spacing w:after="20"/>
      </w:pPr>
      <w:hyperlink r:id="rId22">
        <w:r>
          <w:rPr>
            <w:color w:val="0563C1"/>
            <w:u w:val="single"/>
          </w:rPr>
          <w:t>Issue #58 — identificação das portas de sensores</w:t>
        </w:r>
      </w:hyperlink>
    </w:p>
    <w:p>
      <w:pPr>
        <w:pStyle w:val="ListBullet"/>
        <w:spacing w:after="20"/>
      </w:pPr>
      <w:hyperlink r:id="rId23">
        <w:r>
          <w:rPr>
            <w:color w:val="0563C1"/>
            <w:u w:val="single"/>
          </w:rPr>
          <w:t>Issue #59 — tipos e limites da linguagem</w:t>
        </w:r>
      </w:hyperlink>
    </w:p>
    <w:p>
      <w:pPr>
        <w:pStyle w:val="ListBullet"/>
        <w:spacing w:after="20"/>
      </w:pPr>
      <w:hyperlink r:id="rId24">
        <w:r>
          <w:rPr>
            <w:color w:val="0563C1"/>
            <w:u w:val="single"/>
          </w:rPr>
          <w:t>Issue #60 — limite de memória e aviso prévio</w:t>
        </w:r>
      </w:hyperlink>
    </w:p>
    <w:p>
      <w:pPr>
        <w:pStyle w:val="ListBullet"/>
        <w:spacing w:after="20"/>
      </w:pPr>
      <w:hyperlink r:id="rId25">
        <w:r>
          <w:rPr>
            <w:color w:val="0563C1"/>
            <w:u w:val="single"/>
          </w:rPr>
          <w:t>Issue #61 — inventário de recursos do IDE</w:t>
        </w:r>
      </w:hyperlink>
    </w:p>
    <w:p>
      <w:pPr>
        <w:pStyle w:val="ListBullet"/>
        <w:spacing w:after="20"/>
      </w:pPr>
      <w:hyperlink r:id="rId26">
        <w:r>
          <w:rPr>
            <w:color w:val="0563C1"/>
            <w:u w:val="single"/>
          </w:rPr>
          <w:t>Issue #62 — versão do Java e plataformas</w:t>
        </w:r>
      </w:hyperlink>
    </w:p>
    <w:p>
      <w:pPr>
        <w:pStyle w:val="ListBullet"/>
        <w:spacing w:after="20"/>
      </w:pPr>
      <w:hyperlink r:id="rId27">
        <w:r>
          <w:rPr>
            <w:color w:val="0563C1"/>
            <w:u w:val="single"/>
          </w:rPr>
          <w:t>Issue #63 — build e releases automatizados</w:t>
        </w:r>
      </w:hyperlink>
    </w:p>
    <w:p>
      <w:pPr>
        <w:pStyle w:val="ListBullet"/>
        <w:spacing w:after="20"/>
      </w:pPr>
      <w:hyperlink r:id="rId28">
        <w:r>
          <w:rPr>
            <w:color w:val="0563C1"/>
            <w:u w:val="single"/>
          </w:rPr>
          <w:t>Issue #64 — documentação da linguagem e compilador</w:t>
        </w:r>
      </w:hyperlink>
    </w:p>
    <w:p>
      <w:pPr>
        <w:pStyle w:val="ListBullet"/>
        <w:spacing w:after="20"/>
      </w:pPr>
      <w:hyperlink r:id="rId29">
        <w:r>
          <w:rPr>
            <w:color w:val="0563C1"/>
            <w:u w:val="single"/>
          </w:rPr>
          <w:t>Issue #66 — revisão do documento CodJam</w:t>
        </w:r>
      </w:hyperlink>
    </w:p>
    <w:p>
      <w:pPr>
        <w:pStyle w:val="ListBullet"/>
        <w:spacing w:after="20"/>
      </w:pPr>
      <w:hyperlink r:id="rId30">
        <w:r>
          <w:rPr>
            <w:color w:val="0563C1"/>
            <w:u w:val="single"/>
          </w:rPr>
          <w:t>Issue #93 — mensagem de erro 155 e validação pendente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C74"/>
        <w:sz w:val="16"/>
      </w:rPr>
      <w:t xml:space="preserve">Documento interno de avaliação  •  22/10/2026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6C74"/>
        <w:sz w:val="16"/>
      </w:rPr>
      <w:t>AVALIAÇÃO TÉCNICA  |  CODJAM-LEG4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Aptos"/>
      <w:color w:val="2D31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DarlysonGabriel/CodJam-Leg4" TargetMode="External"/><Relationship Id="rId12" Type="http://schemas.openxmlformats.org/officeDocument/2006/relationships/hyperlink" Target="https://github.com/DarlysonGabriel/CodJam-Leg4/commit/e264b86f15eae18e5476db3498f29bbe9c4ecd27" TargetMode="External"/><Relationship Id="rId13" Type="http://schemas.openxmlformats.org/officeDocument/2006/relationships/hyperlink" Target="https://github.com/DarlysonGabriel/CodJam-Leg4/issues/47" TargetMode="External"/><Relationship Id="rId14" Type="http://schemas.openxmlformats.org/officeDocument/2006/relationships/hyperlink" Target="https://github.com/DarlysonGabriel/CodJam-Leg4/issues/48" TargetMode="External"/><Relationship Id="rId15" Type="http://schemas.openxmlformats.org/officeDocument/2006/relationships/hyperlink" Target="https://github.com/DarlysonGabriel/CodJam-Leg4/issues/49" TargetMode="External"/><Relationship Id="rId16" Type="http://schemas.openxmlformats.org/officeDocument/2006/relationships/hyperlink" Target="https://github.com/DarlysonGabriel/CodJam-Leg4/issues/50" TargetMode="External"/><Relationship Id="rId17" Type="http://schemas.openxmlformats.org/officeDocument/2006/relationships/hyperlink" Target="https://github.com/DarlysonGabriel/CodJam-Leg4/issues/51" TargetMode="External"/><Relationship Id="rId18" Type="http://schemas.openxmlformats.org/officeDocument/2006/relationships/hyperlink" Target="https://github.com/DarlysonGabriel/CodJam-Leg4/issues/52" TargetMode="External"/><Relationship Id="rId19" Type="http://schemas.openxmlformats.org/officeDocument/2006/relationships/hyperlink" Target="https://github.com/DarlysonGabriel/CodJam-Leg4/issues/53" TargetMode="External"/><Relationship Id="rId20" Type="http://schemas.openxmlformats.org/officeDocument/2006/relationships/hyperlink" Target="https://github.com/DarlysonGabriel/CodJam-Leg4/issues/54" TargetMode="External"/><Relationship Id="rId21" Type="http://schemas.openxmlformats.org/officeDocument/2006/relationships/hyperlink" Target="https://github.com/DarlysonGabriel/CodJam-Leg4/issues/56" TargetMode="External"/><Relationship Id="rId22" Type="http://schemas.openxmlformats.org/officeDocument/2006/relationships/hyperlink" Target="https://github.com/DarlysonGabriel/CodJam-Leg4/issues/58" TargetMode="External"/><Relationship Id="rId23" Type="http://schemas.openxmlformats.org/officeDocument/2006/relationships/hyperlink" Target="https://github.com/DarlysonGabriel/CodJam-Leg4/issues/59" TargetMode="External"/><Relationship Id="rId24" Type="http://schemas.openxmlformats.org/officeDocument/2006/relationships/hyperlink" Target="https://github.com/DarlysonGabriel/CodJam-Leg4/issues/60" TargetMode="External"/><Relationship Id="rId25" Type="http://schemas.openxmlformats.org/officeDocument/2006/relationships/hyperlink" Target="https://github.com/DarlysonGabriel/CodJam-Leg4/issues/61" TargetMode="External"/><Relationship Id="rId26" Type="http://schemas.openxmlformats.org/officeDocument/2006/relationships/hyperlink" Target="https://github.com/DarlysonGabriel/CodJam-Leg4/issues/62" TargetMode="External"/><Relationship Id="rId27" Type="http://schemas.openxmlformats.org/officeDocument/2006/relationships/hyperlink" Target="https://github.com/DarlysonGabriel/CodJam-Leg4/issues/63" TargetMode="External"/><Relationship Id="rId28" Type="http://schemas.openxmlformats.org/officeDocument/2006/relationships/hyperlink" Target="https://github.com/DarlysonGabriel/CodJam-Leg4/issues/64" TargetMode="External"/><Relationship Id="rId29" Type="http://schemas.openxmlformats.org/officeDocument/2006/relationships/hyperlink" Target="https://github.com/DarlysonGabriel/CodJam-Leg4/issues/66" TargetMode="External"/><Relationship Id="rId30" Type="http://schemas.openxmlformats.org/officeDocument/2006/relationships/hyperlink" Target="https://github.com/DarlysonGabriel/CodJam-Leg4/issues/9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Avaliação Técnica — CodJam-Leg4</dc:title>
  <dc:subject>Pendências, riscos e prioridades de desenvolvimento</dc:subject>
  <dc:creator>Avaliação técnica interna</dc:creator>
  <cp:keywords>CodJam-Leg4, revisão técnica, backlog, riscos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