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F3864"/>
          <w:sz w:val="56"/>
          <w:szCs w:val="56"/>
        </w:rPr>
        <w:t xml:space="preserve">PROCUREMENT DIGITAL TWIN</w:t>
      </w:r>
    </w:p>
    <w:p>
      <w:pPr>
        <w:spacing w:after="100" w:before="0"/>
      </w:pPr>
      <w:r>
        <w:rPr>
          <w:rFonts w:ascii="Arial" w:cs="Arial" w:eastAsia="Arial" w:hAnsi="Arial"/>
          <w:b w:val="false"/>
          <w:bCs w:val="false"/>
          <w:color w:val="2E75B6"/>
          <w:sz w:val="36"/>
          <w:szCs w:val="36"/>
        </w:rPr>
        <w:t xml:space="preserve">Implementation Approach</w:t>
      </w:r>
    </w:p>
    <w:p>
      <w:pPr>
        <w:pBdr>
          <w:bottom w:val="single" w:color="2E75B6" w:sz="6" w:space="1"/>
        </w:pBdr>
      </w:pPr>
    </w:p>
    <w:p>
      <w:pPr>
        <w:spacing w:after="200" w:before="0"/>
      </w:pPr>
    </w:p>
    <w:p>
      <w:r>
        <w:rPr>
          <w:i/>
          <w:iCs/>
          <w:color w:val="BFBFBF"/>
          <w:sz w:val="22"/>
          <w:szCs w:val="22"/>
        </w:rPr>
        <w:t xml:space="preserve">Based on TED Contract Notice and Award Notice Data  |  EU-wide  |  2018–2023</w:t>
      </w:r>
    </w:p>
    <w:p>
      <w:pPr>
        <w:spacing w:after="80" w:before="0"/>
      </w:pPr>
    </w:p>
    <w:p>
      <w:r>
        <w:rPr>
          <w:color w:val="BFBFBF"/>
          <w:sz w:val="22"/>
          <w:szCs w:val="22"/>
        </w:rPr>
        <w:t xml:space="preserve">March 2026</w:t>
      </w:r>
    </w:p>
    <w:p>
      <w:pPr>
        <w:spacing w:after="600" w:before="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80" w:before="80"/>
        <w:jc w:val="both"/>
      </w:pPr>
      <w:r>
        <w:t xml:space="preserve">This document sets out the full implementation approach for a Procurement Digital Twin — a computational model of public procurement procedures that enables policy makers, contracting authorities, and analysts to simulate the effects of design choices on competition, duration, cross-border participation, and price outcomes. The Twin is grounded in a dataset of approximately 14 million notices published on the EU’s Tenders Electronic Daily (TED) platform between 2018 and 2023, covering all member states and all above-threshold procurement under EU Directives 2014/24/EU and 2014/25/EU.</w:t>
      </w:r>
    </w:p>
    <w:p>
      <w:pPr>
        <w:spacing w:after="80" w:before="0"/>
      </w:pPr>
    </w:p>
    <w:p>
      <w:pPr>
        <w:spacing w:after="80" w:before="80"/>
        <w:jc w:val="both"/>
      </w:pPr>
      <w:r>
        <w:t xml:space="preserve">The concept rests on a simple but powerful insight: procurement outcomes are highly path-dependent. Choices made at the procedure design stage — the procedure type, the award criteria, the lot structure, the value, the publication timeline — cascade into measurable effects on the number of tenderers, the probability of cross-border participation, the price achieved relative to the estimate, and the overall time from publication to contract award. These relationships can be estimated from empirical data and then re-used to answer “what if” questions that currently have no rigorous answer.</w:t>
      </w:r>
    </w:p>
    <w:p>
      <w:pPr>
        <w:spacing w:after="80" w:before="0"/>
      </w:pPr>
    </w:p>
    <w:p>
      <w:pPr>
        <w:spacing w:after="80" w:before="80"/>
        <w:jc w:val="both"/>
      </w:pPr>
      <w:r>
        <w:t xml:space="preserve">The implementation is structured in four phases over approximately nine months, using Python as the primary language, with a Plotly Dash interactive front-end as the user-facing simulation interface. The deliverables are a production-ready simulation engine, a suite of calibrated predictive models, and an interactive scenario comparison dashboard accessible to non-technical users.</w:t>
      </w:r>
    </w:p>
    <w:p>
      <w:pPr>
        <w:spacing w:after="200" w:before="0"/>
      </w:pPr>
    </w:p>
    <w:p>
      <w:pPr>
        <w:pStyle w:val="Heading1"/>
      </w:pPr>
      <w:r>
        <w:rPr>
          <w:b/>
          <w:bCs/>
        </w:rPr>
        <w:t xml:space="preserve">2. Data Assessment</w:t>
      </w:r>
    </w:p>
    <w:p>
      <w:pPr>
        <w:spacing w:after="80" w:before="80"/>
        <w:jc w:val="both"/>
      </w:pPr>
      <w:r>
        <w:t xml:space="preserve">Before designing the model architecture it is essential to understand what the available data actually contains, where its strengths lie, and where its limitations will constrain what the Twin can reliably simulate. The following assessment is based on a systematic exploration of both source files.</w:t>
      </w:r>
    </w:p>
    <w:p>
      <w:pPr>
        <w:pStyle w:val="Heading2"/>
      </w:pPr>
      <w:r>
        <w:rPr>
          <w:b/>
          <w:bCs/>
        </w:rPr>
        <w:t xml:space="preserve">2.1 Source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Metric</w:t>
            </w:r>
          </w:p>
        </w:tc>
        <w:tc>
          <w:tcPr>
            <w:tcW w:type="dxa" w:w="276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Contract Notices (CFC)</w:t>
            </w:r>
          </w:p>
        </w:tc>
        <w:tc>
          <w:tcPr>
            <w:tcW w:type="dxa" w:w="276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b/>
                <w:bCs/>
                <w:color w:val="FFFFFF"/>
                <w:sz w:val="20"/>
                <w:szCs w:val="20"/>
              </w:rPr>
              <w:t xml:space="preserve">Award Notices (CAN)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Total records</w:t>
            </w:r>
          </w:p>
        </w:tc>
        <w:tc>
          <w:tcPr>
            <w:tcW w:type="dxa" w:w="2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7,716,824 rows</w:t>
            </w:r>
          </w:p>
        </w:tc>
        <w:tc>
          <w:tcPr>
            <w:tcW w:type="dxa" w:w="2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6,198,064 rows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Variables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64 columns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75 columns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Coverage period</w:t>
            </w:r>
          </w:p>
        </w:tc>
        <w:tc>
          <w:tcPr>
            <w:tcW w:type="dxa" w:w="2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2018–2023</w:t>
            </w:r>
          </w:p>
        </w:tc>
        <w:tc>
          <w:tcPr>
            <w:tcW w:type="dxa" w:w="2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2018–2023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Geographic coverage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EU-wide + EEA + GPA countries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EU-wide + EEA + GPA countries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Primary ID field</w:t>
            </w:r>
          </w:p>
        </w:tc>
        <w:tc>
          <w:tcPr>
            <w:tcW w:type="dxa" w:w="2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ID_NOTICE_CN</w:t>
            </w:r>
          </w:p>
        </w:tc>
        <w:tc>
          <w:tcPr>
            <w:tcW w:type="dxa" w:w="276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ID_NOTICE_CAN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Linkage field</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FUTURE_CAN_ID (links to CAN)</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Referenced by CFC via FUTURE_CAN_ID</w:t>
            </w:r>
          </w:p>
        </w:tc>
      </w:tr>
    </w:tbl>
    <w:p>
      <w:pPr>
        <w:spacing w:after="120" w:before="0"/>
      </w:pPr>
    </w:p>
    <w:p>
      <w:pPr>
        <w:spacing w:after="80" w:before="80"/>
        <w:jc w:val="both"/>
      </w:pPr>
      <w:r>
        <w:t xml:space="preserve">The Contract/Call for Competition file (CFC) captures the demand side of the procedure: what was procured, by whom, under which procedure type, with which award criteria, and at what estimated value. The Contract Award Notice file (CAN) captures the supply-side outcome: how many tenderers responded, who won, at what price, and whether the winner was an SME or a cross-border supplier.</w:t>
      </w:r>
    </w:p>
    <w:p>
      <w:pPr>
        <w:spacing w:after="80" w:before="80"/>
        <w:jc w:val="both"/>
      </w:pPr>
      <w:r>
        <w:t xml:space="preserve">Together, these two files allow reconstruction of the full procedure arc — from publication of the call to the award decision — for any linked record pair. The critical linkage field is FUTURE_CAN_ID in the CFC file, which encodes the TED notice number of the corresponding award notice. Resolving this linkage requires a mapping step between TED notice numbers and the internal sequential IDs used in the export files, which will be addressed in Phase 1 of the implementation.</w:t>
      </w:r>
    </w:p>
    <w:p>
      <w:pPr>
        <w:pStyle w:val="Heading2"/>
      </w:pPr>
      <w:r>
        <w:rPr>
          <w:b/>
          <w:bCs/>
        </w:rPr>
        <w:t xml:space="preserve">2.2 Key Empirical Findings</w:t>
      </w:r>
    </w:p>
    <w:p>
      <w:pPr>
        <w:spacing w:after="80" w:before="80"/>
        <w:jc w:val="both"/>
      </w:pPr>
      <w:r>
        <w:t xml:space="preserve">The following findings from the data exploration directly inform the model design and simulation targets.</w:t>
      </w:r>
    </w:p>
    <w:p>
      <w:pPr>
        <w:pStyle w:val="Heading3"/>
      </w:pPr>
      <w:r>
        <w:rPr>
          <w:b/>
          <w:bCs/>
        </w:rPr>
        <w:t xml:space="preserve">2.2.1 Procedure Type Distribution</w:t>
      </w:r>
    </w:p>
    <w:p>
      <w:pPr>
        <w:spacing w:after="80" w:before="80"/>
        <w:jc w:val="both"/>
      </w:pPr>
      <w:r>
        <w:t xml:space="preserve">The open procedure (OPE) overwhelmingly dominates, accounting for approximately 89–97% of all notices depending on the file. Restricted procedure (RES), negotiated without prior call (NIC), negotiated without competition (NOC), and award without prior publication (AWP) account for the remainder. This concentration means that the open procedure is the natural baseline case for the simulation engine, with other procedure types modelled as discrete alternatives.</w:t>
      </w:r>
    </w:p>
    <w:p>
      <w:pPr>
        <w:pStyle w:val="Heading3"/>
      </w:pPr>
      <w:r>
        <w:rPr>
          <w:b/>
          <w:bCs/>
        </w:rPr>
        <w:t xml:space="preserve">2.2.2 Competition Intensity</w:t>
      </w:r>
    </w:p>
    <w:p>
      <w:pPr>
        <w:spacing w:after="80" w:before="80"/>
        <w:jc w:val="both"/>
      </w:pPr>
      <w:r>
        <w:t xml:space="preserve">The number of tenders received (NUMBER_OFFERS in the CAN file) has a mean of approximately 6 and a median of 2, reflecting a highly skewed distribution with a long right tail. The median is the more meaningful benchmark: in the typical EU procurement, only two bids are received. Competition is significantly higher for open procedures (median 2, mean 6.4) than for negotiated procedures (median 1). It varies substantially by country — Ireland and Iceland show median values above 10, while many Central and Eastern European markets cluster around 2–3.</w:t>
      </w:r>
    </w:p>
    <w:p>
      <w:pPr>
        <w:pStyle w:val="Heading3"/>
      </w:pPr>
      <w:r>
        <w:rPr>
          <w:b/>
          <w:bCs/>
        </w:rPr>
        <w:t xml:space="preserve">2.2.3 Bidder Preparation Time</w:t>
      </w:r>
    </w:p>
    <w:p>
      <w:pPr>
        <w:spacing w:after="80" w:before="80"/>
        <w:jc w:val="both"/>
      </w:pPr>
      <w:r>
        <w:t xml:space="preserve">The gap between the CFC publication date and the submission deadline — the time available to tenderers to prepare a bid — has a median of 37 days and a mean of 37.6 days, with a standard deviation of only 9 days. This tight clustering around the EU legal minimum for open procedures (35 days under Directive 2014/24/EU) is itself a finding: contracting authorities systematically use the minimum, leaving no margin for tenderers. Preparation time varies modestly by country (24 days in North Macedonia to 45 days in Italy) and is significantly longer for contracts above 50 million euros (median 48 days vs 35–37 for smaller contracts).</w:t>
      </w:r>
    </w:p>
    <w:p>
      <w:pPr>
        <w:pStyle w:val="Heading3"/>
      </w:pPr>
      <w:r>
        <w:rPr>
          <w:b/>
          <w:bCs/>
        </w:rPr>
        <w:t xml:space="preserve">2.2.4 Cross-Border Award Rate</w:t>
      </w:r>
    </w:p>
    <w:p>
      <w:pPr>
        <w:spacing w:after="80" w:before="80"/>
        <w:jc w:val="both"/>
      </w:pPr>
      <w:r>
        <w:t xml:space="preserve">Approximately 10% of contracts in the sample are awarded to a supplier registered in a different country from the contracting authority. This overall figure masks substantial variation: Luxembourg shows a cross-border award rate of 37%, reflecting its small domestic market, while most larger economies cluster between 8–15%. Cross-border participation is highest under accelerated procedures and lowest under framework agreements without reopening of competition. The cross-border rate is a key policy indicator — the Single Market in public procurement is, empirically, highly segmented.</w:t>
      </w:r>
    </w:p>
    <w:p>
      <w:pPr>
        <w:pStyle w:val="Heading3"/>
      </w:pPr>
      <w:r>
        <w:rPr>
          <w:b/>
          <w:bCs/>
        </w:rPr>
        <w:t xml:space="preserve">2.2.5 Price Performance</w:t>
      </w:r>
    </w:p>
    <w:p>
      <w:pPr>
        <w:spacing w:after="80" w:before="80"/>
        <w:jc w:val="both"/>
      </w:pPr>
      <w:r>
        <w:t xml:space="preserve">The ratio of the actual award value to the estimated contract value has a median of 0.98 and a mean of 0.85, meaning that awards typically come in slightly below estimate, with competitive pressure driving the mean below the median. The distribution has a notable left skew — a meaningful share of contracts are awarded at values well below the estimate — and a right tail where outturn exceeds the estimate (common in complex works contracts). This ratio is the primary measure of price performance available from notice data, as actual outturn values at contract completion are not systematically captured in TED.</w:t>
      </w:r>
    </w:p>
    <w:p>
      <w:pPr>
        <w:pStyle w:val="Heading3"/>
      </w:pPr>
      <w:r>
        <w:rPr>
          <w:b/>
          <w:bCs/>
        </w:rPr>
        <w:t xml:space="preserve">2.2.6 Contract Duration</w:t>
      </w:r>
    </w:p>
    <w:p>
      <w:pPr>
        <w:spacing w:after="80" w:before="80"/>
        <w:jc w:val="both"/>
      </w:pPr>
      <w:r>
        <w:t xml:space="preserve">The DURATION field in the CFC file records the planned contract length in months. The median is 24 months, the 75th percentile is 36 months, and some sectors (IT, consulting, framework agreements) cluster at 48 months. Duration is strongly sector-dependent, as reflected in the CPV code, and is a key input parameter for the simulation since longer contracts tend to attract more competition and cross-border interest.</w:t>
      </w:r>
    </w:p>
    <w:p>
      <w:pPr>
        <w:pStyle w:val="Heading2"/>
      </w:pPr>
      <w:r>
        <w:rPr>
          <w:b/>
          <w:bCs/>
        </w:rPr>
        <w:t xml:space="preserve">2.3 Data Quality Observations</w:t>
      </w:r>
    </w:p>
    <w:p>
      <w:pPr>
        <w:spacing w:after="80" w:before="80"/>
        <w:jc w:val="both"/>
      </w:pPr>
      <w:r>
        <w:t xml:space="preserve">Several data quality issues were identified that must be addressed in the pipeline:</w:t>
      </w:r>
    </w:p>
    <w:p>
      <w:pPr>
        <w:pStyle w:val="ListParagraph"/>
        <w:numPr>
          <w:ilvl w:val="0"/>
          <w:numId w:val="2"/>
        </w:numPr>
        <w:spacing w:after="40" w:before="40"/>
      </w:pPr>
      <w:r>
        <w:rPr>
          <w:b w:val="false"/>
          <w:bCs w:val="false"/>
        </w:rPr>
        <w:t xml:space="preserve">The FUTURE_CAN_ID field in the CFC file uses TED’s own notice numbering format (e.g. 2021265222), while the CAN export uses an internal sequential integer. A mapping table must be constructed by parsing the TED_NOTICE_URL field.</w:t>
      </w:r>
    </w:p>
    <w:p>
      <w:pPr>
        <w:pStyle w:val="ListParagraph"/>
        <w:numPr>
          <w:ilvl w:val="0"/>
          <w:numId w:val="2"/>
        </w:numPr>
        <w:spacing w:after="40" w:before="40"/>
      </w:pPr>
      <w:r>
        <w:rPr>
          <w:b w:val="false"/>
          <w:bCs w:val="false"/>
        </w:rPr>
        <w:t xml:space="preserve">The B_CONTRACTOR_SME field in CAN is stored as a concatenated string (e.g. "Y---Y---N") for multi-lot contracts, requiring parsing before the SME indicator can be used at lot level.</w:t>
      </w:r>
    </w:p>
    <w:p>
      <w:pPr>
        <w:pStyle w:val="ListParagraph"/>
        <w:numPr>
          <w:ilvl w:val="0"/>
          <w:numId w:val="2"/>
        </w:numPr>
        <w:spacing w:after="40" w:before="40"/>
      </w:pPr>
      <w:r>
        <w:rPr>
          <w:b w:val="false"/>
          <w:bCs w:val="false"/>
        </w:rPr>
        <w:t xml:space="preserve">VALUE_EURO and AWARD_VALUE_EURO have a non-trivial proportion of zeroes and implausible outliers (values above 10 billion euros for individual contracts). Value-based filters and imputation strategies will be required.</w:t>
      </w:r>
    </w:p>
    <w:p>
      <w:pPr>
        <w:pStyle w:val="ListParagraph"/>
        <w:numPr>
          <w:ilvl w:val="0"/>
          <w:numId w:val="2"/>
        </w:numPr>
        <w:spacing w:after="40" w:before="40"/>
      </w:pPr>
      <w:r>
        <w:rPr>
          <w:b w:val="false"/>
          <w:bCs w:val="false"/>
        </w:rPr>
        <w:t xml:space="preserve">The NUMBER_OFFERS field is missing for approximately 28% of CAN records in the sample, with missingness correlated with certain country-year combinations. Models trained on competition must account for this non-random missingness.</w:t>
      </w:r>
    </w:p>
    <w:p>
      <w:pPr>
        <w:pStyle w:val="ListParagraph"/>
        <w:numPr>
          <w:ilvl w:val="0"/>
          <w:numId w:val="2"/>
        </w:numPr>
        <w:spacing w:after="40" w:before="40"/>
      </w:pPr>
      <w:r>
        <w:rPr>
          <w:b w:val="false"/>
          <w:bCs w:val="false"/>
        </w:rPr>
        <w:t xml:space="preserve">The LOTS_NUMBER field in the CFC file appears to encode a cumulative position counter rather than a lot count for some records (values reaching 2,604), which is inconsistent with the actual lots structure. This requires validation against the raw notice XML where necessary.</w:t>
      </w:r>
    </w:p>
    <w:p>
      <w:pPr>
        <w:spacing w:after="200" w:before="0"/>
      </w:pPr>
    </w:p>
    <w:p>
      <w:pPr>
        <w:pStyle w:val="Heading1"/>
      </w:pPr>
      <w:r>
        <w:rPr>
          <w:b/>
          <w:bCs/>
        </w:rPr>
        <w:t xml:space="preserve">3. Digital Twin Architecture</w:t>
      </w:r>
    </w:p>
    <w:p>
      <w:pPr>
        <w:spacing w:after="80" w:before="80"/>
        <w:jc w:val="both"/>
      </w:pPr>
      <w:r>
        <w:t xml:space="preserve">The Digital Twin is structured as three interconnected layers: a data and feature store, a predictive model layer, and a simulation and interface layer. These map to distinct concerns — measurement, inference, and decision support — and can be developed and maintained independently.</w:t>
      </w:r>
    </w:p>
    <w:p>
      <w:pPr>
        <w:pStyle w:val="Heading2"/>
      </w:pPr>
      <w:r>
        <w:rPr>
          <w:b/>
          <w:bCs/>
        </w:rPr>
        <w:t xml:space="preserve">3.1 Layer 1: Data and Feature Store</w:t>
      </w:r>
    </w:p>
    <w:p>
      <w:pPr>
        <w:spacing w:after="80" w:before="80"/>
        <w:jc w:val="both"/>
      </w:pPr>
      <w:r>
        <w:t xml:space="preserve">The foundation of the Twin is a clean, linked, feature-rich dataset that joins the CFC and CAN files at the procedure level and engineers the outcome variables and explanatory features that the model layer will consume. This layer is a one-time construction effort with ongoing refresh capability as new annual TED exports become available.</w:t>
      </w:r>
    </w:p>
    <w:p>
      <w:pPr>
        <w:spacing w:after="80" w:before="80"/>
        <w:jc w:val="both"/>
      </w:pPr>
      <w:r>
        <w:t xml:space="preserve">The core entity in this layer is the Procedure Record: a single row combining the procedure design inputs from the CFC file with the market outcome variables from the linked CAN file. For multi-lot procedures, records exist at both procedure and lot level. The Procedure Record contains the following feature groups:</w:t>
      </w:r>
    </w:p>
    <w:p>
      <w:pPr>
        <w:pStyle w:val="ListParagraph"/>
        <w:numPr>
          <w:ilvl w:val="0"/>
          <w:numId w:val="2"/>
        </w:numPr>
        <w:spacing w:after="40" w:before="40"/>
      </w:pPr>
      <w:r>
        <w:rPr>
          <w:b w:val="false"/>
          <w:bCs w:val="false"/>
        </w:rPr>
        <w:t xml:space="preserve">Procedure design inputs: procedure type, award criteria type and price weight, estimated value, lot structure, contract type, EU funds involvement, accelerated procedure flag, GPA coverage.</w:t>
      </w:r>
    </w:p>
    <w:p>
      <w:pPr>
        <w:pStyle w:val="ListParagraph"/>
        <w:numPr>
          <w:ilvl w:val="0"/>
          <w:numId w:val="2"/>
        </w:numPr>
        <w:spacing w:after="40" w:before="40"/>
      </w:pPr>
      <w:r>
        <w:rPr>
          <w:b w:val="false"/>
          <w:bCs w:val="false"/>
        </w:rPr>
        <w:t xml:space="preserve">Context features: contracting authority type, NUTS region, CPV division and group, year, country, contract duration.</w:t>
      </w:r>
    </w:p>
    <w:p>
      <w:pPr>
        <w:pStyle w:val="ListParagraph"/>
        <w:numPr>
          <w:ilvl w:val="0"/>
          <w:numId w:val="2"/>
        </w:numPr>
        <w:spacing w:after="40" w:before="40"/>
      </w:pPr>
      <w:r>
        <w:rPr>
          <w:b w:val="false"/>
          <w:bCs w:val="false"/>
        </w:rPr>
        <w:t xml:space="preserve">Derived features: preparation time in days (CFC dispatch to submission deadline), value bracket, CPV sector aggregation, country cluster (by market size and openness).</w:t>
      </w:r>
    </w:p>
    <w:p>
      <w:pPr>
        <w:pStyle w:val="ListParagraph"/>
        <w:numPr>
          <w:ilvl w:val="0"/>
          <w:numId w:val="2"/>
        </w:numPr>
        <w:spacing w:after="40" w:before="40"/>
      </w:pPr>
      <w:r>
        <w:rPr>
          <w:b w:val="false"/>
          <w:bCs w:val="false"/>
        </w:rPr>
        <w:t xml:space="preserve">Outcome variables: number of offers received, number of cross-border tenders, cross-border win flag, SME win flag, award-to-estimate price ratio, cancellation flag.</w:t>
      </w:r>
    </w:p>
    <w:p>
      <w:pPr>
        <w:spacing w:after="80" w:before="80"/>
        <w:jc w:val="both"/>
      </w:pPr>
      <w:r>
        <w:t xml:space="preserve">The feature store will be materialised as Parquet files (approximately 2–4 GB compressed), enabling fast in-process loading for model training and simulation without requiring a database server.</w:t>
      </w:r>
    </w:p>
    <w:p>
      <w:pPr>
        <w:pStyle w:val="Heading2"/>
      </w:pPr>
      <w:r>
        <w:rPr>
          <w:b/>
          <w:bCs/>
        </w:rPr>
        <w:t xml:space="preserve">3.2 Layer 2: Predictive Model Layer</w:t>
      </w:r>
    </w:p>
    <w:p>
      <w:pPr>
        <w:spacing w:after="80" w:before="80"/>
        <w:jc w:val="both"/>
      </w:pPr>
      <w:r>
        <w:t xml:space="preserve">The model layer contains a set of calibrated statistical models, each trained to predict one outcome variable given a set of procedure design inputs. The models serve two purposes: they provide the distributional predictions used in the simulation engine, and they surface the empirical relationships between design choices and outcomes in an interpretable form for policy analysis.</w:t>
      </w:r>
    </w:p>
    <w:p>
      <w:pPr>
        <w:spacing w:after="80" w:before="80"/>
        <w:jc w:val="both"/>
      </w:pPr>
      <w:r>
        <w:t xml:space="preserve">Four primary outcome models are specified:</w:t>
      </w:r>
    </w:p>
    <w:p>
      <w:pPr>
        <w:pStyle w:val="Heading3"/>
      </w:pPr>
      <w:r>
        <w:rPr>
          <w:b/>
          <w:bCs/>
        </w:rPr>
        <w:t xml:space="preserve">3.2.1 Competition Model</w:t>
      </w:r>
    </w:p>
    <w:p>
      <w:pPr>
        <w:spacing w:after="80" w:before="80"/>
        <w:jc w:val="both"/>
      </w:pPr>
      <w:r>
        <w:t xml:space="preserve">Target: NUMBER_OFFERS (count of tenders received). The competition model predicts the expected distribution of bids for a given procedure design. Because the outcome is a count with a long right tail, a negative binomial regression is the appropriate baseline, with gradient-boosted trees (XGBoost) as the performance benchmark. Key predictors include procedure type, estimated value bracket, CPV division, country, preparation time, and lot structure. The model outputs both a point estimate and a full predictive distribution, enabling the simulation to return not just "you will get 3 bids" but "there is a 35% probability of receiving only 1 bid."</w:t>
      </w:r>
    </w:p>
    <w:p>
      <w:pPr>
        <w:pStyle w:val="Heading3"/>
      </w:pPr>
      <w:r>
        <w:rPr>
          <w:b/>
          <w:bCs/>
        </w:rPr>
        <w:t xml:space="preserve">3.2.2 Cross-Border Model</w:t>
      </w:r>
    </w:p>
    <w:p>
      <w:pPr>
        <w:spacing w:after="80" w:before="80"/>
        <w:jc w:val="both"/>
      </w:pPr>
      <w:r>
        <w:t xml:space="preserve">Target: IS_CROSS_BORDER (binary flag: winner from a different country than the contracting authority). The cross-border model predicts the probability that a given procedure will attract a cross-border winner. A logistic regression provides the interpretable baseline; a random forest provides the performance benchmark. Key predictors include estimated value, country, CPV division, GPA coverage, and preparation time. A secondary model predicts the number of cross-border tenderers (NUMBER_TENDERS_OTHER_EU) as a soft indicator of market openness even when the eventual winner is domestic.</w:t>
      </w:r>
    </w:p>
    <w:p>
      <w:pPr>
        <w:pStyle w:val="Heading3"/>
      </w:pPr>
      <w:r>
        <w:rPr>
          <w:b/>
          <w:bCs/>
        </w:rPr>
        <w:t xml:space="preserve">3.2.3 Price Performance Model</w:t>
      </w:r>
    </w:p>
    <w:p>
      <w:pPr>
        <w:spacing w:after="80" w:before="80"/>
        <w:jc w:val="both"/>
      </w:pPr>
      <w:r>
        <w:t xml:space="preserve">Target: AWARD_VALUE_EURO / AWARD_EST_VALUE_EURO (price ratio). The price performance model predicts the expected deviation of the award value from the estimate. A beta regression (bounded on [0, 3] after winsorisation) or a log-normal regression is appropriate for this continuous bounded outcome. Key predictors include the number of offers received (treated as endogenous — requiring an instrumental variables or two-stage approach), the award criteria type, the CPV division, and the contract value. The price ratio model is explicitly positioned as an outcome of competition, not an independent prediction.</w:t>
      </w:r>
    </w:p>
    <w:p>
      <w:pPr>
        <w:pStyle w:val="Heading3"/>
      </w:pPr>
      <w:r>
        <w:rPr>
          <w:b/>
          <w:bCs/>
        </w:rPr>
        <w:t xml:space="preserve">3.2.4 Duration Model</w:t>
      </w:r>
    </w:p>
    <w:p>
      <w:pPr>
        <w:spacing w:after="80" w:before="80"/>
        <w:jc w:val="both"/>
      </w:pPr>
      <w:r>
        <w:t xml:space="preserve">Target: Days from CFC publication to contract award (requires the CFC–CAN linkage). The duration model predicts the total procedure calendar time. An accelerated failure time model or a log-normal regression is appropriate given the right-censored nature of the data (some procedures are ongoing at the time of export). Key predictors include procedure type, value, country, lot structure, and whether an accelerated procedure was used.</w:t>
      </w:r>
    </w:p>
    <w:p>
      <w:pPr>
        <w:pStyle w:val="Heading2"/>
      </w:pPr>
      <w:r>
        <w:rPr>
          <w:b/>
          <w:bCs/>
        </w:rPr>
        <w:t xml:space="preserve">3.3 Layer 3: Simulation and Interface Layer</w:t>
      </w:r>
    </w:p>
    <w:p>
      <w:pPr>
        <w:spacing w:after="80" w:before="80"/>
        <w:jc w:val="both"/>
      </w:pPr>
      <w:r>
        <w:t xml:space="preserve">The simulation layer is the user-facing component of the Twin. It takes a user-specified procedure design as input, runs the predictive models, and returns a multi-dimensional outcome profile with uncertainty ranges. It also supports scenario comparison — allowing a user to compare two or more procedure designs side by side — and policy simulation at macro level.</w:t>
      </w:r>
    </w:p>
    <w:p>
      <w:pPr>
        <w:pStyle w:val="Heading3"/>
      </w:pPr>
      <w:r>
        <w:rPr>
          <w:b/>
          <w:bCs/>
        </w:rPr>
        <w:t xml:space="preserve">3.3.1 Single-Procedure Simulation</w:t>
      </w:r>
    </w:p>
    <w:p>
      <w:pPr>
        <w:spacing w:after="80" w:before="80"/>
        <w:jc w:val="both"/>
      </w:pPr>
      <w:r>
        <w:t xml:space="preserve">A user specifies the key parameters of a planned or hypothetical procedure: country, CPV code, estimated value, procedure type, award criteria type, preparation time, number of lots, and contract duration. The simulation engine passes these inputs through the four predictive models and returns:</w:t>
      </w:r>
    </w:p>
    <w:p>
      <w:pPr>
        <w:pStyle w:val="ListParagraph"/>
        <w:numPr>
          <w:ilvl w:val="0"/>
          <w:numId w:val="2"/>
        </w:numPr>
        <w:spacing w:after="40" w:before="40"/>
      </w:pPr>
      <w:r>
        <w:rPr>
          <w:b w:val="false"/>
          <w:bCs w:val="false"/>
        </w:rPr>
        <w:t xml:space="preserve">Expected number of bids (with 80% and 95% confidence intervals).</w:t>
      </w:r>
    </w:p>
    <w:p>
      <w:pPr>
        <w:pStyle w:val="ListParagraph"/>
        <w:numPr>
          <w:ilvl w:val="0"/>
          <w:numId w:val="2"/>
        </w:numPr>
        <w:spacing w:after="40" w:before="40"/>
      </w:pPr>
      <w:r>
        <w:rPr>
          <w:b w:val="false"/>
          <w:bCs w:val="false"/>
        </w:rPr>
        <w:t xml:space="preserve">Probability of receiving only one bid (zero-competition risk).</w:t>
      </w:r>
    </w:p>
    <w:p>
      <w:pPr>
        <w:pStyle w:val="ListParagraph"/>
        <w:numPr>
          <w:ilvl w:val="0"/>
          <w:numId w:val="2"/>
        </w:numPr>
        <w:spacing w:after="40" w:before="40"/>
      </w:pPr>
      <w:r>
        <w:rPr>
          <w:b w:val="false"/>
          <w:bCs w:val="false"/>
        </w:rPr>
        <w:t xml:space="preserve">Probability of a cross-border winner.</w:t>
      </w:r>
    </w:p>
    <w:p>
      <w:pPr>
        <w:pStyle w:val="ListParagraph"/>
        <w:numPr>
          <w:ilvl w:val="0"/>
          <w:numId w:val="2"/>
        </w:numPr>
        <w:spacing w:after="40" w:before="40"/>
      </w:pPr>
      <w:r>
        <w:rPr>
          <w:b w:val="false"/>
          <w:bCs w:val="false"/>
        </w:rPr>
        <w:t xml:space="preserve">Expected number of cross-border tenderers.</w:t>
      </w:r>
    </w:p>
    <w:p>
      <w:pPr>
        <w:pStyle w:val="ListParagraph"/>
        <w:numPr>
          <w:ilvl w:val="0"/>
          <w:numId w:val="2"/>
        </w:numPr>
        <w:spacing w:after="40" w:before="40"/>
      </w:pPr>
      <w:r>
        <w:rPr>
          <w:b w:val="false"/>
          <w:bCs w:val="false"/>
        </w:rPr>
        <w:t xml:space="preserve">Expected price ratio (award vs estimate) with confidence interval.</w:t>
      </w:r>
    </w:p>
    <w:p>
      <w:pPr>
        <w:pStyle w:val="ListParagraph"/>
        <w:numPr>
          <w:ilvl w:val="0"/>
          <w:numId w:val="2"/>
        </w:numPr>
        <w:spacing w:after="40" w:before="40"/>
      </w:pPr>
      <w:r>
        <w:rPr>
          <w:b w:val="false"/>
          <w:bCs w:val="false"/>
        </w:rPr>
        <w:t xml:space="preserve">Expected total procedure duration in days.</w:t>
      </w:r>
    </w:p>
    <w:p>
      <w:pPr>
        <w:pStyle w:val="Heading3"/>
      </w:pPr>
      <w:r>
        <w:rPr>
          <w:b/>
          <w:bCs/>
        </w:rPr>
        <w:t xml:space="preserve">3.3.2 Scenario Comparison</w:t>
      </w:r>
    </w:p>
    <w:p>
      <w:pPr>
        <w:spacing w:after="80" w:before="80"/>
        <w:jc w:val="both"/>
      </w:pPr>
      <w:r>
        <w:t xml:space="preserve">The scenario comparison module allows a user to define a baseline procedure design and one or more alternative designs, varying one or more parameters at a time. The engine runs the simulation for each scenario and presents the outcomes in a side-by-side comparison dashboard, highlighting statistically significant differences. Typical use cases include:</w:t>
      </w:r>
    </w:p>
    <w:p>
      <w:pPr>
        <w:pStyle w:val="ListParagraph"/>
        <w:numPr>
          <w:ilvl w:val="0"/>
          <w:numId w:val="2"/>
        </w:numPr>
        <w:spacing w:after="40" w:before="40"/>
      </w:pPr>
      <w:r>
        <w:rPr>
          <w:b w:val="false"/>
          <w:bCs w:val="false"/>
        </w:rPr>
        <w:t xml:space="preserve">Comparing open procedure vs restricted procedure for a given contract.</w:t>
      </w:r>
    </w:p>
    <w:p>
      <w:pPr>
        <w:pStyle w:val="ListParagraph"/>
        <w:numPr>
          <w:ilvl w:val="0"/>
          <w:numId w:val="2"/>
        </w:numPr>
        <w:spacing w:after="40" w:before="40"/>
      </w:pPr>
      <w:r>
        <w:rPr>
          <w:b w:val="false"/>
          <w:bCs w:val="false"/>
        </w:rPr>
        <w:t xml:space="preserve">Assessing the effect of changing from lowest-price to MEAT (Most Economically Advantageous Tender) criteria on competition.</w:t>
      </w:r>
    </w:p>
    <w:p>
      <w:pPr>
        <w:pStyle w:val="ListParagraph"/>
        <w:numPr>
          <w:ilvl w:val="0"/>
          <w:numId w:val="2"/>
        </w:numPr>
        <w:spacing w:after="40" w:before="40"/>
      </w:pPr>
      <w:r>
        <w:rPr>
          <w:b w:val="false"/>
          <w:bCs w:val="false"/>
        </w:rPr>
        <w:t xml:space="preserve">Evaluating the impact of increasing preparation time from 35 to 52 days.</w:t>
      </w:r>
    </w:p>
    <w:p>
      <w:pPr>
        <w:pStyle w:val="ListParagraph"/>
        <w:numPr>
          <w:ilvl w:val="0"/>
          <w:numId w:val="2"/>
        </w:numPr>
        <w:spacing w:after="40" w:before="40"/>
      </w:pPr>
      <w:r>
        <w:rPr>
          <w:b w:val="false"/>
          <w:bCs w:val="false"/>
        </w:rPr>
        <w:t xml:space="preserve">Estimating the competition effect of splitting a large contract into smaller lots.</w:t>
      </w:r>
    </w:p>
    <w:p>
      <w:pPr>
        <w:pStyle w:val="Heading3"/>
      </w:pPr>
      <w:r>
        <w:rPr>
          <w:b/>
          <w:bCs/>
        </w:rPr>
        <w:t xml:space="preserve">3.3.3 Policy Simulation</w:t>
      </w:r>
    </w:p>
    <w:p>
      <w:pPr>
        <w:spacing w:after="80" w:before="80"/>
        <w:jc w:val="both"/>
      </w:pPr>
      <w:r>
        <w:t xml:space="preserve">The policy simulation module operates at the aggregate level, simulating the systemic effect of a regulatory or policy change across a portfolio of procedures. For example, a user might ask: "If preparation time were extended to 52 days for all works contracts above 5 million euros in Central and Eastern Europe, what is the expected change in average competition levels and cross-border award rates?" The engine applies the specified parameter change across all matching historical procedures, re-runs the models, and computes the aggregate change in outcome distributions. This is a counterfactual Monte Carlo simulation, not a pure predictive exercise.</w:t>
      </w:r>
    </w:p>
    <w:p>
      <w:pPr>
        <w:spacing w:after="200" w:before="0"/>
      </w:pPr>
    </w:p>
    <w:p>
      <w:pPr>
        <w:pStyle w:val="Heading1"/>
      </w:pPr>
      <w:r>
        <w:rPr>
          <w:b/>
          <w:bCs/>
        </w:rPr>
        <w:t xml:space="preserve">4. Data Pipeline Design</w:t>
      </w:r>
    </w:p>
    <w:p>
      <w:pPr>
        <w:spacing w:after="80" w:before="80"/>
        <w:jc w:val="both"/>
      </w:pPr>
      <w:r>
        <w:t xml:space="preserve">The data pipeline transforms the two raw TED export files into the clean Procedure Record dataset consumed by the model layer. It is designed to run in Python using pandas and polars, with Parquet as the storage format.</w:t>
      </w:r>
    </w:p>
    <w:p>
      <w:pPr>
        <w:pStyle w:val="Heading2"/>
      </w:pPr>
      <w:r>
        <w:rPr>
          <w:b/>
          <w:bCs/>
        </w:rPr>
        <w:t xml:space="preserve">4.1 Ingestion and Parsing</w:t>
      </w:r>
    </w:p>
    <w:p>
      <w:pPr>
        <w:spacing w:after="80" w:before="80"/>
        <w:jc w:val="both"/>
      </w:pPr>
      <w:r>
        <w:t xml:space="preserve">Both CSV files are large enough (6–8 million rows, approximately 2–4 GB each) that naive pandas loading will be slow and memory-intensive. The pipeline will use polars for the initial ingestion and filtering step (which is approximately 5–10x faster than pandas for this workload), then convert to pandas for the modelling steps where the scikit-learn ecosystem is required.</w:t>
      </w:r>
    </w:p>
    <w:p>
      <w:pPr>
        <w:spacing w:after="80" w:before="80"/>
        <w:jc w:val="both"/>
      </w:pPr>
      <w:r>
        <w:t xml:space="preserve">The ingestion step performs: data type coercion (date parsing, numeric casting), column selection (retaining only the fields required for the feature store), and initial quality filters (removing records flagged as corrections to earlier notices, where CORRECTIONS = 1, to avoid double-counting).</w:t>
      </w:r>
    </w:p>
    <w:p>
      <w:pPr>
        <w:pStyle w:val="Heading2"/>
      </w:pPr>
      <w:r>
        <w:rPr>
          <w:b/>
          <w:bCs/>
        </w:rPr>
        <w:t xml:space="preserve">4.2 CFC–CAN Linkage</w:t>
      </w:r>
    </w:p>
    <w:p>
      <w:pPr>
        <w:spacing w:after="80" w:before="80"/>
        <w:jc w:val="both"/>
      </w:pPr>
      <w:r>
        <w:t xml:space="preserve">The linkage step joins the CFC and CAN files to create Procedure Records. The FUTURE_CAN_ID field in the CFC file contains the TED notice number of the corresponding CAN (e.g. 2021265222 corresponds to TED notice 265222/2021). The CAN export file uses a different internal sequential ID. The mapping is established by parsing the TED_NOTICE_URL field in the CAN file, which encodes the TED notice number in its URL path. A mapping table of {TED notice number: internal CAN ID} is constructed from the CAN file and used to join.</w:t>
      </w:r>
    </w:p>
    <w:p>
      <w:pPr>
        <w:spacing w:after="80" w:before="80"/>
        <w:jc w:val="both"/>
      </w:pPr>
      <w:r>
        <w:t xml:space="preserve">The linkage rate in the sample is approximately 92% for CFC records (92,043 of 100,000 CFC records have a FUTURE_CAN_ID). Unlinked CFC records represent cancelled procedures, procedures still in progress at the time of export, or data quality gaps, and are retained in the feature store with null outcome variables for use in cancellation analysis.</w:t>
      </w:r>
    </w:p>
    <w:p>
      <w:pPr>
        <w:pStyle w:val="Heading2"/>
      </w:pPr>
      <w:r>
        <w:rPr>
          <w:b/>
          <w:bCs/>
        </w:rPr>
        <w:t xml:space="preserve">4.3 Feature Engineering</w:t>
      </w:r>
    </w:p>
    <w:p>
      <w:pPr>
        <w:spacing w:after="80" w:before="80"/>
        <w:jc w:val="both"/>
      </w:pPr>
      <w:r>
        <w:t xml:space="preserve">The feature engineering step computes all derived variables required by the model layer. Key transformations include:</w:t>
      </w:r>
    </w:p>
    <w:p>
      <w:pPr>
        <w:pStyle w:val="ListParagraph"/>
        <w:numPr>
          <w:ilvl w:val="0"/>
          <w:numId w:val="2"/>
        </w:numPr>
        <w:spacing w:after="40" w:before="40"/>
      </w:pPr>
      <w:r>
        <w:rPr>
          <w:b w:val="false"/>
          <w:bCs w:val="false"/>
        </w:rPr>
        <w:t xml:space="preserve">CPV aggregation: mapping the 9-digit CPV code to 2-digit CPV division and broader sector groups (healthcare, construction, IT, professional services, etc.).</w:t>
      </w:r>
    </w:p>
    <w:p>
      <w:pPr>
        <w:pStyle w:val="ListParagraph"/>
        <w:numPr>
          <w:ilvl w:val="0"/>
          <w:numId w:val="2"/>
        </w:numPr>
        <w:spacing w:after="40" w:before="40"/>
      </w:pPr>
      <w:r>
        <w:rPr>
          <w:b w:val="false"/>
          <w:bCs w:val="false"/>
        </w:rPr>
        <w:t xml:space="preserve">Value bracket encoding: binning estimated contract value into regulatory threshold-aligned brackets (&lt;135k, 135–215k, 215–431k, 431k–5M, 5M–50M, &gt;50M) that reflect procurement law thresholds.</w:t>
      </w:r>
    </w:p>
    <w:p>
      <w:pPr>
        <w:pStyle w:val="ListParagraph"/>
        <w:numPr>
          <w:ilvl w:val="0"/>
          <w:numId w:val="2"/>
        </w:numPr>
        <w:spacing w:after="40" w:before="40"/>
      </w:pPr>
      <w:r>
        <w:rPr>
          <w:b w:val="false"/>
          <w:bCs w:val="false"/>
        </w:rPr>
        <w:t xml:space="preserve">Preparation time: computed as the difference in days between DT_DISPATCH (CFC) and DT_APPLICATIONS (submission deadline).</w:t>
      </w:r>
    </w:p>
    <w:p>
      <w:pPr>
        <w:pStyle w:val="ListParagraph"/>
        <w:numPr>
          <w:ilvl w:val="0"/>
          <w:numId w:val="2"/>
        </w:numPr>
        <w:spacing w:after="40" w:before="40"/>
      </w:pPr>
      <w:r>
        <w:rPr>
          <w:b w:val="false"/>
          <w:bCs w:val="false"/>
        </w:rPr>
        <w:t xml:space="preserve">Procedure duration: computed as the difference in days between DT_DISPATCH (CFC) and DT_AWARD (CAN) for linked records.</w:t>
      </w:r>
    </w:p>
    <w:p>
      <w:pPr>
        <w:pStyle w:val="ListParagraph"/>
        <w:numPr>
          <w:ilvl w:val="0"/>
          <w:numId w:val="2"/>
        </w:numPr>
        <w:spacing w:after="40" w:before="40"/>
      </w:pPr>
      <w:r>
        <w:rPr>
          <w:b w:val="false"/>
          <w:bCs w:val="false"/>
        </w:rPr>
        <w:t xml:space="preserve">Cross-border flag: WIN_COUNTRY_CODE != ISO_COUNTRY_CODE.</w:t>
      </w:r>
    </w:p>
    <w:p>
      <w:pPr>
        <w:pStyle w:val="ListParagraph"/>
        <w:numPr>
          <w:ilvl w:val="0"/>
          <w:numId w:val="2"/>
        </w:numPr>
        <w:spacing w:after="40" w:before="40"/>
      </w:pPr>
      <w:r>
        <w:rPr>
          <w:b w:val="false"/>
          <w:bCs w:val="false"/>
        </w:rPr>
        <w:t xml:space="preserve">SME flag: parsed from the B_CONTRACTOR_SME field after splitting the concatenated multi-lot string.</w:t>
      </w:r>
    </w:p>
    <w:p>
      <w:pPr>
        <w:pStyle w:val="ListParagraph"/>
        <w:numPr>
          <w:ilvl w:val="0"/>
          <w:numId w:val="2"/>
        </w:numPr>
        <w:spacing w:after="40" w:before="40"/>
      </w:pPr>
      <w:r>
        <w:rPr>
          <w:b w:val="false"/>
          <w:bCs w:val="false"/>
        </w:rPr>
        <w:t xml:space="preserve">Price ratio: AWARD_VALUE_EURO / AWARD_EST_VALUE_EURO, winsorised at [0, 3].</w:t>
      </w:r>
    </w:p>
    <w:p>
      <w:pPr>
        <w:pStyle w:val="ListParagraph"/>
        <w:numPr>
          <w:ilvl w:val="0"/>
          <w:numId w:val="2"/>
        </w:numPr>
        <w:spacing w:after="40" w:before="40"/>
      </w:pPr>
      <w:r>
        <w:rPr>
          <w:b w:val="false"/>
          <w:bCs w:val="false"/>
        </w:rPr>
        <w:t xml:space="preserve">Country cluster: assignment of countries to clusters by market size and openness using a pre-defined classification (Nordic, Germanic, Iberian, CEE, Baltic, Balkan, Mediterranean, Benelux).</w:t>
      </w:r>
    </w:p>
    <w:p>
      <w:pPr>
        <w:spacing w:after="200" w:before="0"/>
      </w:pPr>
    </w:p>
    <w:p>
      <w:pPr>
        <w:pStyle w:val="Heading1"/>
      </w:pPr>
      <w:r>
        <w:rPr>
          <w:b/>
          <w:bCs/>
        </w:rPr>
        <w:t xml:space="preserve">5. Model Design and Training</w:t>
      </w:r>
    </w:p>
    <w:p>
      <w:pPr>
        <w:pStyle w:val="Heading2"/>
      </w:pPr>
      <w:r>
        <w:rPr>
          <w:b/>
          <w:bCs/>
        </w:rPr>
        <w:t xml:space="preserve">5.1 Modelling Philosophy</w:t>
      </w:r>
    </w:p>
    <w:p>
      <w:pPr>
        <w:spacing w:after="80" w:before="80"/>
        <w:jc w:val="both"/>
      </w:pPr>
      <w:r>
        <w:t xml:space="preserve">The models in the Twin serve a dual purpose that creates a design tension: they must be accurate enough to produce useful simulations, but interpretable enough to support policy conclusions. A pure black-box model (e.g. a deep neural network) might maximise predictive accuracy but would offer no insight into why competition is higher in one configuration than another. The chosen approach resolves this tension by training both an interpretable baseline model and a performance benchmark model for each outcome, using the benchmark to assess how much accuracy is sacrificed for interpretability, and selecting the baseline for deployment unless the accuracy gap is unacceptably large (&gt; 10 percentage points in R² or AUC).</w:t>
      </w:r>
    </w:p>
    <w:p>
      <w:pPr>
        <w:pStyle w:val="Heading2"/>
      </w:pPr>
      <w:r>
        <w:rPr>
          <w:b/>
          <w:bCs/>
        </w:rPr>
        <w:t xml:space="preserve">5.2 Model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Outcome</w:t>
            </w:r>
          </w:p>
        </w:tc>
        <w:tc>
          <w:tcPr>
            <w:tcW w:type="dxa" w:w="311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Baseline Model</w:t>
            </w:r>
          </w:p>
        </w:tc>
        <w:tc>
          <w:tcPr>
            <w:tcW w:type="dxa" w:w="311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Benchmark Model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Number of offers (competition)</w:t>
            </w:r>
          </w:p>
        </w:tc>
        <w:tc>
          <w:tcPr>
            <w:tcW w:type="dxa" w:w="31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Negative binomial regression</w:t>
            </w:r>
          </w:p>
        </w:tc>
        <w:tc>
          <w:tcPr>
            <w:tcW w:type="dxa" w:w="31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XGBoost regressor (Poisson objective)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Zero-competition risk (P(offers=1))</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Logistic regression</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Random forest classifier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Cross-border winner (binary)</w:t>
            </w:r>
          </w:p>
        </w:tc>
        <w:tc>
          <w:tcPr>
            <w:tcW w:type="dxa" w:w="31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Logistic regression with country fixed effects</w:t>
            </w:r>
          </w:p>
        </w:tc>
        <w:tc>
          <w:tcPr>
            <w:tcW w:type="dxa" w:w="31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Gradient boosted trees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Cross-border tender count</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Negative binomial regression</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XGBoost regressor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Price ratio (award/estimate)</w:t>
            </w:r>
          </w:p>
        </w:tc>
        <w:tc>
          <w:tcPr>
            <w:tcW w:type="dxa" w:w="31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Log-normal regression (OLS on log ratio)</w:t>
            </w:r>
          </w:p>
        </w:tc>
        <w:tc>
          <w:tcPr>
            <w:tcW w:type="dxa" w:w="31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XGBoost regressor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Procedure duration (days)</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Log-normal AFT model</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XGBoost regressor</w:t>
            </w:r>
          </w:p>
        </w:tc>
      </w:tr>
    </w:tbl>
    <w:p>
      <w:pPr>
        <w:spacing w:after="120" w:before="0"/>
      </w:pPr>
    </w:p>
    <w:p>
      <w:pPr>
        <w:pStyle w:val="Heading2"/>
      </w:pPr>
      <w:r>
        <w:rPr>
          <w:b/>
          <w:bCs/>
        </w:rPr>
        <w:t xml:space="preserve">5.3 Training, Validation and Calibration</w:t>
      </w:r>
    </w:p>
    <w:p>
      <w:pPr>
        <w:spacing w:after="80" w:before="80"/>
        <w:jc w:val="both"/>
      </w:pPr>
      <w:r>
        <w:t xml:space="preserve">Models are trained on procedures from 2018–2021 and validated on 2022–2023 data. This temporal split reflects the intended use case: the Twin is used to predict the outcomes of future procedures, not to explain the training data. A random split would produce optimistically biased validation metrics.</w:t>
      </w:r>
    </w:p>
    <w:p>
      <w:pPr>
        <w:spacing w:after="80" w:before="80"/>
        <w:jc w:val="both"/>
      </w:pPr>
      <w:r>
        <w:t xml:space="preserve">All models are calibrated against held-out validation data to ensure that predicted probabilities match empirical frequencies (for classification models) and that predicted distributions match observed distributions (for count and continuous models). Calibration plots are included in the model evaluation report that accompanies each trained model artefact.</w:t>
      </w:r>
    </w:p>
    <w:p>
      <w:pPr>
        <w:spacing w:after="80" w:before="80"/>
        <w:jc w:val="both"/>
      </w:pPr>
      <w:r>
        <w:t xml:space="preserve">For the competition and price models, the training pipeline includes a missingness audit: records with missing outcome variables are analysed to determine whether missingness is random or systematic. If systematic (e.g. missingness correlated with country or procedure type), multiple imputation or a Heckman-style selection correction is applied.</w:t>
      </w:r>
    </w:p>
    <w:p>
      <w:pPr>
        <w:pStyle w:val="Heading2"/>
      </w:pPr>
      <w:r>
        <w:rPr>
          <w:b/>
          <w:bCs/>
        </w:rPr>
        <w:t xml:space="preserve">5.4 Feature Importance and Interpretability</w:t>
      </w:r>
    </w:p>
    <w:p>
      <w:pPr>
        <w:spacing w:after="80" w:before="80"/>
        <w:jc w:val="both"/>
      </w:pPr>
      <w:r>
        <w:t xml:space="preserve">For each model, the implementation produces a standardised feature importance report using SHAP (SHapley Additive exPlanations) values. SHAP values provide a consistent, model-agnostic decomposition of each prediction into the contribution of each feature, enabling policy-relevant statements such as: "For a 5 million euro IT services contract in Poland using lowest-price criteria, the choice of open vs restricted procedure is the single largest driver of expected competition, accounting for approximately 1.8 additional offers."</w:t>
      </w:r>
    </w:p>
    <w:p>
      <w:pPr>
        <w:spacing w:after="200" w:before="0"/>
      </w:pPr>
    </w:p>
    <w:p>
      <w:pPr>
        <w:pStyle w:val="Heading1"/>
      </w:pPr>
      <w:r>
        <w:rPr>
          <w:b/>
          <w:bCs/>
        </w:rPr>
        <w:t xml:space="preserve">6. Simulation Engine</w:t>
      </w:r>
    </w:p>
    <w:p>
      <w:pPr>
        <w:pStyle w:val="Heading2"/>
      </w:pPr>
      <w:r>
        <w:rPr>
          <w:b/>
          <w:bCs/>
        </w:rPr>
        <w:t xml:space="preserve">6.1 Design Principles</w:t>
      </w:r>
    </w:p>
    <w:p>
      <w:pPr>
        <w:spacing w:after="80" w:before="80"/>
        <w:jc w:val="both"/>
      </w:pPr>
      <w:r>
        <w:t xml:space="preserve">The simulation engine translates user-specified procedure parameters into outcome distributions by calling the trained models and aggregating their outputs. The engine is designed around three principles:</w:t>
      </w:r>
    </w:p>
    <w:p>
      <w:pPr>
        <w:pStyle w:val="ListParagraph"/>
        <w:numPr>
          <w:ilvl w:val="0"/>
          <w:numId w:val="2"/>
        </w:numPr>
        <w:spacing w:after="40" w:before="40"/>
      </w:pPr>
      <w:r>
        <w:rPr>
          <w:b w:val="false"/>
          <w:bCs w:val="false"/>
        </w:rPr>
        <w:t xml:space="preserve">Uncertainty-first: all outputs are distributions, not point estimates. The engine always communicates prediction intervals alongside the central tendency.</w:t>
      </w:r>
    </w:p>
    <w:p>
      <w:pPr>
        <w:pStyle w:val="ListParagraph"/>
        <w:numPr>
          <w:ilvl w:val="0"/>
          <w:numId w:val="2"/>
        </w:numPr>
        <w:spacing w:after="40" w:before="40"/>
      </w:pPr>
      <w:r>
        <w:rPr>
          <w:b w:val="false"/>
          <w:bCs w:val="false"/>
        </w:rPr>
        <w:t xml:space="preserve">Composability: outcome models are chained where theoretically appropriate (e.g. competition feeds into the price ratio model) but can also be run independently.</w:t>
      </w:r>
    </w:p>
    <w:p>
      <w:pPr>
        <w:pStyle w:val="ListParagraph"/>
        <w:numPr>
          <w:ilvl w:val="0"/>
          <w:numId w:val="2"/>
        </w:numPr>
        <w:spacing w:after="40" w:before="40"/>
      </w:pPr>
      <w:r>
        <w:rPr>
          <w:b w:val="false"/>
          <w:bCs w:val="false"/>
        </w:rPr>
        <w:t xml:space="preserve">Comparability: the engine supports side-by-side scenario comparison as a first-class operation, not an afterthought.</w:t>
      </w:r>
    </w:p>
    <w:p>
      <w:pPr>
        <w:pStyle w:val="Heading2"/>
      </w:pPr>
      <w:r>
        <w:rPr>
          <w:b/>
          <w:bCs/>
        </w:rPr>
        <w:t xml:space="preserve">6.2 Monte Carlo Sampling</w:t>
      </w:r>
    </w:p>
    <w:p>
      <w:pPr>
        <w:spacing w:after="80" w:before="80"/>
        <w:jc w:val="both"/>
      </w:pPr>
      <w:r>
        <w:t xml:space="preserve">For single-procedure simulation, the engine draws 10,000 Monte Carlo samples from the predictive distributions of each model, propagating uncertainty across the model chain. This produces joint predictive distributions over all outcome variables simultaneously, capturing correlations between outcomes (e.g. higher competition tends to produce a lower price ratio). The output is a set of summary statistics (mean, median, 10th–90th percentile) plus a full sample for visualisation.</w:t>
      </w:r>
    </w:p>
    <w:p>
      <w:pPr>
        <w:pStyle w:val="Heading2"/>
      </w:pPr>
      <w:r>
        <w:rPr>
          <w:b/>
          <w:bCs/>
        </w:rPr>
        <w:t xml:space="preserve">6.3 Counterfactual Policy Simulation</w:t>
      </w:r>
    </w:p>
    <w:p>
      <w:pPr>
        <w:spacing w:after="80" w:before="80"/>
        <w:jc w:val="both"/>
      </w:pPr>
      <w:r>
        <w:t xml:space="preserve">For policy simulation, the engine operates on the full historical Procedure Record dataset. It applies the user-specified parameter change to all matching records, re-runs the models for each record, and computes the aggregate change in outcome distributions. The result is expressed as a difference-in-distributions: the expected change in mean competition, the change in the share of procedures receiving only one bid, and the change in the cross-border award rate, all with bootstrap confidence intervals.</w:t>
      </w:r>
    </w:p>
    <w:p>
      <w:pPr>
        <w:spacing w:after="200" w:before="0"/>
      </w:pPr>
    </w:p>
    <w:p>
      <w:pPr>
        <w:pStyle w:val="Heading1"/>
      </w:pPr>
      <w:r>
        <w:rPr>
          <w:b/>
          <w:bCs/>
        </w:rPr>
        <w:t xml:space="preserve">7. User Interface and Deployment</w:t>
      </w:r>
    </w:p>
    <w:p>
      <w:pPr>
        <w:pStyle w:val="Heading2"/>
      </w:pPr>
      <w:r>
        <w:rPr>
          <w:b/>
          <w:bCs/>
        </w:rPr>
        <w:t xml:space="preserve">7.1 Technology Choice</w:t>
      </w:r>
    </w:p>
    <w:p>
      <w:pPr>
        <w:spacing w:after="80" w:before="80"/>
        <w:jc w:val="both"/>
      </w:pPr>
      <w:r>
        <w:t xml:space="preserve">The user interface is a Plotly Dash application — a Python-native framework that renders as a web application and can be deployed locally or on a server without requiring a separate front-end technology stack. This choice reflects the primary user profile: analysts and policy makers who are comfortable with web applications but do not need a fully productionised SaaS deployment, and who benefit from the ability to run the tool locally with full control over the data.</w:t>
      </w:r>
    </w:p>
    <w:p>
      <w:pPr>
        <w:spacing w:after="80" w:before="80"/>
        <w:jc w:val="both"/>
      </w:pPr>
      <w:r>
        <w:t xml:space="preserve">An alternative Shiny (R) implementation of the interface layer can be developed as a secondary deliverable if the user community has a strong R preference, since all model outputs can be serialised to a format consumable by R.</w:t>
      </w:r>
    </w:p>
    <w:p>
      <w:pPr>
        <w:pStyle w:val="Heading2"/>
      </w:pPr>
      <w:r>
        <w:rPr>
          <w:b/>
          <w:bCs/>
        </w:rPr>
        <w:t xml:space="preserve">7.2 Interface Structure</w:t>
      </w:r>
    </w:p>
    <w:p>
      <w:pPr>
        <w:spacing w:after="80" w:before="80"/>
        <w:jc w:val="both"/>
      </w:pPr>
      <w:r>
        <w:t xml:space="preserve">The Dash application has three primary views:</w:t>
      </w:r>
    </w:p>
    <w:p>
      <w:pPr>
        <w:pStyle w:val="ListParagraph"/>
        <w:numPr>
          <w:ilvl w:val="0"/>
          <w:numId w:val="2"/>
        </w:numPr>
        <w:spacing w:after="40" w:before="40"/>
      </w:pPr>
      <w:r>
        <w:rPr>
          <w:b w:val="false"/>
          <w:bCs w:val="false"/>
        </w:rPr>
        <w:t xml:space="preserve">Procedure Designer: a form-based interface where the user specifies procedure parameters and receives a real-time outcome simulation. The interface uses progressive disclosure — a minimal set of required parameters is shown by default, with advanced parameters (lot structure, GPA coverage, etc.) available on expansion.</w:t>
      </w:r>
    </w:p>
    <w:p>
      <w:pPr>
        <w:pStyle w:val="ListParagraph"/>
        <w:numPr>
          <w:ilvl w:val="0"/>
          <w:numId w:val="2"/>
        </w:numPr>
        <w:spacing w:after="40" w:before="40"/>
      </w:pPr>
      <w:r>
        <w:rPr>
          <w:b w:val="false"/>
          <w:bCs w:val="false"/>
        </w:rPr>
        <w:t xml:space="preserve">Scenario Comparator: a split-panel view showing two or more procedure designs side by side, with standardised outcome cards and a difference summary highlighting which design is expected to outperform on each metric.</w:t>
      </w:r>
    </w:p>
    <w:p>
      <w:pPr>
        <w:pStyle w:val="ListParagraph"/>
        <w:numPr>
          <w:ilvl w:val="0"/>
          <w:numId w:val="2"/>
        </w:numPr>
        <w:spacing w:after="40" w:before="40"/>
      </w:pPr>
      <w:r>
        <w:rPr>
          <w:b w:val="false"/>
          <w:bCs w:val="false"/>
        </w:rPr>
        <w:t xml:space="preserve">Policy Explorer: a macro-level view allowing the user to define a filter on the historical dataset (country, CPV division, value range, year) and a parameter perturbation (e.g. “extend preparation time by 14 days”), and receive an aggregate simulation of the policy effect across all matching historical procedures.</w:t>
      </w:r>
    </w:p>
    <w:p>
      <w:pPr>
        <w:pStyle w:val="Heading2"/>
      </w:pPr>
      <w:r>
        <w:rPr>
          <w:b/>
          <w:bCs/>
        </w:rPr>
        <w:t xml:space="preserve">7.3 Deployment Options</w:t>
      </w:r>
    </w:p>
    <w:p>
      <w:pPr>
        <w:spacing w:after="80" w:before="80"/>
        <w:jc w:val="both"/>
      </w:pPr>
      <w:r>
        <w:t xml:space="preserve">Three deployment configurations are envisioned, in increasing order of complexity:</w:t>
      </w:r>
    </w:p>
    <w:p>
      <w:pPr>
        <w:pStyle w:val="ListParagraph"/>
        <w:numPr>
          <w:ilvl w:val="0"/>
          <w:numId w:val="2"/>
        </w:numPr>
        <w:spacing w:after="40" w:before="40"/>
      </w:pPr>
      <w:r>
        <w:rPr>
          <w:b w:val="false"/>
          <w:bCs w:val="false"/>
        </w:rPr>
        <w:t xml:space="preserve">Local standalone: the Dash application runs on the user’s machine with the model artefacts and Parquet feature store stored locally. Suitable for individual analyst use and for running offline.</w:t>
      </w:r>
    </w:p>
    <w:p>
      <w:pPr>
        <w:pStyle w:val="ListParagraph"/>
        <w:numPr>
          <w:ilvl w:val="0"/>
          <w:numId w:val="2"/>
        </w:numPr>
        <w:spacing w:after="40" w:before="40"/>
      </w:pPr>
      <w:r>
        <w:rPr>
          <w:b w:val="false"/>
          <w:bCs w:val="false"/>
        </w:rPr>
        <w:t xml:space="preserve">Server deployment: the application is deployed on a shared server (e.g. an EC2 instance or an on-premises VM) accessible via browser from within an organisation’s network. The model artefacts are loaded at startup.</w:t>
      </w:r>
    </w:p>
    <w:p>
      <w:pPr>
        <w:pStyle w:val="ListParagraph"/>
        <w:numPr>
          <w:ilvl w:val="0"/>
          <w:numId w:val="2"/>
        </w:numPr>
        <w:spacing w:after="40" w:before="40"/>
      </w:pPr>
      <w:r>
        <w:rPr>
          <w:b w:val="false"/>
          <w:bCs w:val="false"/>
        </w:rPr>
        <w:t xml:space="preserve">API deployment: the simulation engine is exposed as a REST API, allowing the Twin to be called programmatically or integrated into existing eProcurement platforms. A FastAPI wrapper around the simulation engine is the implementation vehicle.</w:t>
      </w:r>
    </w:p>
    <w:p>
      <w:pPr>
        <w:spacing w:after="200" w:before="0"/>
      </w:pPr>
    </w:p>
    <w:p>
      <w:pPr>
        <w:pStyle w:val="Heading1"/>
      </w:pPr>
      <w:r>
        <w:rPr>
          <w:b/>
          <w:bCs/>
        </w:rPr>
        <w:t xml:space="preserve">8. Implementation Roadmap</w:t>
      </w:r>
    </w:p>
    <w:p>
      <w:pPr>
        <w:spacing w:after="80" w:before="80"/>
        <w:jc w:val="both"/>
      </w:pPr>
      <w:r>
        <w:t xml:space="preserve">The implementation is structured as four sequential phases. Each phase produces testable deliverables and can be reviewed before the next phase begins.</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1500"/>
        <w:gridCol w:w="150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Phase</w:t>
            </w:r>
          </w:p>
        </w:tc>
        <w:tc>
          <w:tcPr>
            <w:tcW w:type="dxa" w:w="42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Duration</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Phase 1: Data Pipeline</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Ingest, clean and link the CFC and CAN files. Construct the Procedure Record dataset. Build the CFC–CAN linkage mapping. Engineer all features. Conduct a full data quality audit.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6–8 weeks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Parquet feature store (~2 GB), data quality report, linkage rate audit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Phase 2: Model Training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Train and validate all four outcome models. Produce calibration reports and feature importance analyses. Benchmark interpretable vs. performance models. Select deployment models.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6–8 weeks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 trained model artefacts (.pkl), evaluation report, SHAP analysis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Phase 3: Simulation Engine</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Build the Monte Carlo simulation layer. Implement the counterfactual policy simulation module. Unit-test the engine against known empirical benchmarks. Validate uncertainty quantification.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4–6 weeks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Python simulation package, unit test suite, validation report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Phase 4: Interface and Deployment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Build the Plotly Dash application. Implement all three views (Procedure Designer, Scenario Comparator, Policy Explorer). Deploy in chosen configuration. Conduct user acceptance testing.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6–8 weeks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Deployed Dash application, API wrapper (optional), user guide</w:t>
            </w:r>
          </w:p>
        </w:tc>
      </w:tr>
    </w:tbl>
    <w:p>
      <w:pPr>
        <w:spacing w:after="200" w:before="0"/>
      </w:pPr>
    </w:p>
    <w:p>
      <w:pPr>
        <w:pStyle w:val="Heading1"/>
      </w:pPr>
      <w:r>
        <w:rPr>
          <w:b/>
          <w:bCs/>
        </w:rPr>
        <w:t xml:space="preserve">9.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Technology</w:t>
            </w:r>
          </w:p>
        </w:tc>
        <w:tc>
          <w:tcPr>
            <w:tcW w:type="dxa" w:w="41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b/>
                <w:bCs/>
                <w:color w:val="FFFFFF"/>
                <w:sz w:val="20"/>
                <w:szCs w:val="20"/>
              </w:rPr>
              <w:t xml:space="preserve">Rationale</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Data ingestion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polars, pandas</w:t>
            </w:r>
          </w:p>
        </w:tc>
        <w:tc>
          <w:tcPr>
            <w:tcW w:type="dxa" w:w="4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polars for fast initial loading of large CSVs; pandas for modelling compatibility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Feature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Apache Parquet (via pyarrow)</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Columnar format, 10x smaller than CSV, fast partial reads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Statistical models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statsmodels</w:t>
            </w:r>
          </w:p>
        </w:tc>
        <w:tc>
          <w:tcPr>
            <w:tcW w:type="dxa" w:w="4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Negative binomial, log-normal, and logistic regressions with full inference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ML models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scikit-learn, XGBoost</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Gradient boosting benchmarks; sklearn pipelines for reproducibility</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Interpretability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shap</w:t>
            </w:r>
          </w:p>
        </w:tc>
        <w:tc>
          <w:tcPr>
            <w:tcW w:type="dxa" w:w="4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SHAP values for all models; consistent across model types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Simulation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numpy, scipy</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Monte Carlo sampling; statistical distributions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User interface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Plotly Dash</w:t>
            </w:r>
          </w:p>
        </w:tc>
        <w:tc>
          <w:tcPr>
            <w:tcW w:type="dxa" w:w="4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Python-native web app; no separate front-end stack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Visualisation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Plotly, matplotlib, seaborn</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Interactive charts in Dash; publication figures for reports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API layer (optional)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FastAPI</w:t>
            </w:r>
          </w:p>
        </w:tc>
        <w:tc>
          <w:tcPr>
            <w:tcW w:type="dxa" w:w="4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Lightweight REST API for programmatic access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Version control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Git + DVC</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Code versioning with DVC for large data and model artefacts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Environment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Python 3.11+, conda/venv</w:t>
            </w:r>
          </w:p>
        </w:tc>
        <w:tc>
          <w:tcPr>
            <w:tcW w:type="dxa" w:w="4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Reproducible environment; R integration via rpy2 if needed</w:t>
            </w:r>
          </w:p>
        </w:tc>
      </w:tr>
    </w:tbl>
    <w:p>
      <w:pPr>
        <w:spacing w:after="200" w:before="0"/>
      </w:pPr>
    </w:p>
    <w:p>
      <w:pPr>
        <w:pStyle w:val="Heading1"/>
      </w:pPr>
      <w:r>
        <w:rPr>
          <w:b/>
          <w:bCs/>
        </w:rPr>
        <w:t xml:space="preserve">10. Open Questions and Risks</w:t>
      </w:r>
    </w:p>
    <w:p>
      <w:pPr>
        <w:pStyle w:val="Heading2"/>
      </w:pPr>
      <w:r>
        <w:rPr>
          <w:b/>
          <w:bCs/>
        </w:rPr>
        <w:t xml:space="preserve">10.1 Data Risks</w:t>
      </w:r>
    </w:p>
    <w:p>
      <w:pPr>
        <w:pStyle w:val="ListParagraph"/>
        <w:numPr>
          <w:ilvl w:val="0"/>
          <w:numId w:val="2"/>
        </w:numPr>
        <w:spacing w:after="40" w:before="40"/>
      </w:pPr>
      <w:r>
        <w:rPr>
          <w:b w:val="false"/>
          <w:bCs w:val="false"/>
        </w:rPr>
        <w:t xml:space="preserve">CFC–CAN linkage rate: the FUTURE_CAN_ID mapping has not yet been fully resolved in the full dataset. If the linkage rate is materially lower than the 92% observed in the sample, the duration model and some features of the price model will need to be redesigned to work on unlinked records.</w:t>
      </w:r>
    </w:p>
    <w:p>
      <w:pPr>
        <w:pStyle w:val="ListParagraph"/>
        <w:numPr>
          <w:ilvl w:val="0"/>
          <w:numId w:val="2"/>
        </w:numPr>
        <w:spacing w:after="40" w:before="40"/>
      </w:pPr>
      <w:r>
        <w:rPr>
          <w:b w:val="false"/>
          <w:bCs w:val="false"/>
        </w:rPr>
        <w:t xml:space="preserve">Missing competition data: the 28% missing rate on NUMBER_OFFERS is high. If imputation is insufficient, the competition model will need to incorporate a selection model to correct for non-random missingness.</w:t>
      </w:r>
    </w:p>
    <w:p>
      <w:pPr>
        <w:pStyle w:val="ListParagraph"/>
        <w:numPr>
          <w:ilvl w:val="0"/>
          <w:numId w:val="2"/>
        </w:numPr>
        <w:spacing w:after="40" w:before="40"/>
      </w:pPr>
      <w:r>
        <w:rPr>
          <w:b w:val="false"/>
          <w:bCs w:val="false"/>
        </w:rPr>
        <w:t xml:space="preserve">Value data quality: the large number of zero-value and extreme-value records may distort the value-based features. The pipeline must implement robust outlier handling.</w:t>
      </w:r>
    </w:p>
    <w:p>
      <w:pPr>
        <w:pStyle w:val="Heading2"/>
      </w:pPr>
      <w:r>
        <w:rPr>
          <w:b/>
          <w:bCs/>
        </w:rPr>
        <w:t xml:space="preserve">10.2 Model Risks</w:t>
      </w:r>
    </w:p>
    <w:p>
      <w:pPr>
        <w:pStyle w:val="ListParagraph"/>
        <w:numPr>
          <w:ilvl w:val="0"/>
          <w:numId w:val="2"/>
        </w:numPr>
        <w:spacing w:after="40" w:before="40"/>
      </w:pPr>
      <w:r>
        <w:rPr>
          <w:b w:val="false"/>
          <w:bCs w:val="false"/>
        </w:rPr>
        <w:t xml:space="preserve">Endogeneity in the price model: competition is endogenous to price (lower competition leads to higher prices, but higher prices also attract more bidders). A naive OLS regression will produce biased estimates. An instrumental variables approach using preparation time as an instrument for competition is the planned mitigation.</w:t>
      </w:r>
    </w:p>
    <w:p>
      <w:pPr>
        <w:pStyle w:val="ListParagraph"/>
        <w:numPr>
          <w:ilvl w:val="0"/>
          <w:numId w:val="2"/>
        </w:numPr>
        <w:spacing w:after="40" w:before="40"/>
      </w:pPr>
      <w:r>
        <w:rPr>
          <w:b w:val="false"/>
          <w:bCs w:val="false"/>
        </w:rPr>
        <w:t xml:space="preserve">Country fixed effects collinearity: country and CPV sector are correlated with many procedure design choices, potentially making it difficult to isolate the causal effect of individual design parameters. Interaction terms and subgroup models may be required.</w:t>
      </w:r>
    </w:p>
    <w:p>
      <w:pPr>
        <w:pStyle w:val="ListParagraph"/>
        <w:numPr>
          <w:ilvl w:val="0"/>
          <w:numId w:val="2"/>
        </w:numPr>
        <w:spacing w:after="40" w:before="40"/>
      </w:pPr>
      <w:r>
        <w:rPr>
          <w:b w:val="false"/>
          <w:bCs w:val="false"/>
        </w:rPr>
        <w:t xml:space="preserve">Temporal drift: the model is trained on 2018–2021 data and validated on 2022–2023. Post-COVID disruptions to procurement markets (supply chain issues, inflationary pressures) may have shifted the empirical relationships. A sensitivity analysis comparing pre- and post-2020 model coefficients is recommended.</w:t>
      </w:r>
    </w:p>
    <w:p>
      <w:pPr>
        <w:pStyle w:val="Heading2"/>
      </w:pPr>
      <w:r>
        <w:rPr>
          <w:b/>
          <w:bCs/>
        </w:rPr>
        <w:t xml:space="preserve">10.3 Scope Risks</w:t>
      </w:r>
    </w:p>
    <w:p>
      <w:pPr>
        <w:pStyle w:val="ListParagraph"/>
        <w:numPr>
          <w:ilvl w:val="0"/>
          <w:numId w:val="2"/>
        </w:numPr>
        <w:spacing w:after="40" w:before="40"/>
      </w:pPr>
      <w:r>
        <w:rPr>
          <w:b w:val="false"/>
          <w:bCs w:val="false"/>
        </w:rPr>
        <w:t xml:space="preserve">Below-threshold procurement: the TED data covers only above-threshold procedures. The Twin cannot simulate below-threshold procurement, which is estimated to represent approximately 50–60% of total public procurement expenditure in the EU.</w:t>
      </w:r>
    </w:p>
    <w:p>
      <w:pPr>
        <w:pStyle w:val="ListParagraph"/>
        <w:numPr>
          <w:ilvl w:val="0"/>
          <w:numId w:val="2"/>
        </w:numPr>
        <w:spacing w:after="40" w:before="40"/>
      </w:pPr>
      <w:r>
        <w:rPr>
          <w:b w:val="false"/>
          <w:bCs w:val="false"/>
        </w:rPr>
        <w:t xml:space="preserve">Contract performance: TED data does not contain contract execution data (delays, cost overruns, disputes). The Twin can simulate tendering outcomes but not contract performance outcomes, which is a significant limitation for total value-for-money analysis.</w:t>
      </w:r>
    </w:p>
    <w:p>
      <w:pPr>
        <w:pStyle w:val="ListParagraph"/>
        <w:numPr>
          <w:ilvl w:val="0"/>
          <w:numId w:val="2"/>
        </w:numPr>
        <w:spacing w:after="40" w:before="40"/>
      </w:pPr>
      <w:r>
        <w:rPr>
          <w:b w:val="false"/>
          <w:bCs w:val="false"/>
        </w:rPr>
        <w:t xml:space="preserve">Framework agreement complexity: the dynamics of framework agreements (both with and without reopening of competition) are structurally different from individual contracts. The current specification treats them as a procedure type variant, but a more sophisticated treatment may be required for accurate simulation of framework-specific outcomes.</w:t>
      </w:r>
    </w:p>
    <w:p>
      <w:pPr>
        <w:spacing w:after="200" w:before="0"/>
      </w:pPr>
    </w:p>
    <w:p>
      <w:pPr>
        <w:pStyle w:val="Heading1"/>
      </w:pPr>
      <w:r>
        <w:rPr>
          <w:b/>
          <w:bCs/>
        </w:rPr>
        <w:t xml:space="preserve">11. Recommended Next Steps</w:t>
      </w:r>
    </w:p>
    <w:p>
      <w:pPr>
        <w:spacing w:after="80" w:before="80"/>
        <w:jc w:val="both"/>
      </w:pPr>
      <w:r>
        <w:t xml:space="preserve">The following actions are recommended to initiate the project:</w:t>
      </w:r>
    </w:p>
    <w:p>
      <w:pPr>
        <w:pStyle w:val="ListParagraph"/>
        <w:numPr>
          <w:ilvl w:val="0"/>
          <w:numId w:val="3"/>
        </w:numPr>
        <w:spacing w:after="60" w:before="60"/>
      </w:pPr>
      <w:r>
        <w:t xml:space="preserve">Resolve the CFC–CAN TED notice number mapping by parsing the TED_NOTICE_URL field in the full CAN file and constructing a complete mapping table. This is a prerequisite for Phase 1 and should be the first technical task.</w:t>
      </w:r>
    </w:p>
    <w:p>
      <w:pPr>
        <w:pStyle w:val="ListParagraph"/>
        <w:numPr>
          <w:ilvl w:val="0"/>
          <w:numId w:val="3"/>
        </w:numPr>
        <w:spacing w:after="60" w:before="60"/>
      </w:pPr>
      <w:r>
        <w:t xml:space="preserve">Validate the data quality findings in this document against the full files (the analysis above is based on samples of up to 500,000 rows). In particular, validate the linkage rate, the missing value rates, and the value outlier distribution at full scale.</w:t>
      </w:r>
    </w:p>
    <w:p>
      <w:pPr>
        <w:pStyle w:val="ListParagraph"/>
        <w:numPr>
          <w:ilvl w:val="0"/>
          <w:numId w:val="3"/>
        </w:numPr>
        <w:spacing w:after="60" w:before="60"/>
      </w:pPr>
      <w:r>
        <w:t xml:space="preserve">Define the primary simulation use case in detail. The Procedure Designer view requires a clear specification of which parameters the user will control and which will be fixed as defaults. A brief workshop with representative users (a contracting authority officer and a policy analyst) would produce this specification.</w:t>
      </w:r>
    </w:p>
    <w:p>
      <w:pPr>
        <w:pStyle w:val="ListParagraph"/>
        <w:numPr>
          <w:ilvl w:val="0"/>
          <w:numId w:val="3"/>
        </w:numPr>
        <w:spacing w:after="60" w:before="60"/>
      </w:pPr>
      <w:r>
        <w:t xml:space="preserve">Set up the version-controlled project repository with DVC tracking for the large data files, and agree on the Python environment specification to ensure reproducibility.</w:t>
      </w:r>
    </w:p>
    <w:p>
      <w:pPr>
        <w:pStyle w:val="ListParagraph"/>
        <w:numPr>
          <w:ilvl w:val="0"/>
          <w:numId w:val="3"/>
        </w:numPr>
        <w:spacing w:after="60" w:before="60"/>
      </w:pPr>
      <w:r>
        <w:t xml:space="preserve">Begin Phase 1 data pipeline development, starting with the TED_NOTICE_URL parsing and the CFC–CAN linkage resolution.</w:t>
      </w:r>
    </w:p>
    <w:p>
      <w:pPr>
        <w:spacing w:after="300" w:before="0"/>
      </w:pPr>
    </w:p>
    <w:p>
      <w:pPr>
        <w:pBdr>
          <w:bottom w:val="single" w:color="2E75B6" w:sz="6" w:space="1"/>
        </w:pBdr>
      </w:pPr>
    </w:p>
    <w:p>
      <w:pPr>
        <w:spacing w:after="120" w:before="0"/>
      </w:pPr>
    </w:p>
    <w:p>
      <w:pPr>
        <w:jc w:val="center"/>
      </w:pPr>
      <w:r>
        <w:rPr>
          <w:i/>
          <w:iCs/>
          <w:color w:val="BFBFBF"/>
          <w:sz w:val="18"/>
          <w:szCs w:val="18"/>
        </w:rPr>
        <w:t xml:space="preserve">Procurement Digital Twin Project  •  Implementation Approach  •  March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color w:val="BFBFBF"/>
        <w:sz w:val="16"/>
        <w:szCs w:val="16"/>
      </w:rPr>
      <w:t xml:space="preserve">Procurement Digital Twin Project  •  March 2026</w:t>
    </w:r>
    <w:r>
      <w:t xml:space="preserve">	</w:t>
    </w:r>
    <w:r>
      <w:rPr>
        <w:color w:val="BFBFBF"/>
        <w:sz w:val="16"/>
        <w:szCs w:val="16"/>
      </w:rPr>
      <w:t xml:space="preserve">Page </w:t>
    </w:r>
    <w:r>
      <w:rPr>
        <w:color w:val="BFBFBF"/>
        <w:sz w:val="16"/>
        <w:szCs w:val="16"/>
      </w:rPr>
      <w:fldChar w:fldCharType="begin"/>
      <w:instrText xml:space="preserve">PAGE</w:instrText>
      <w:fldChar w:fldCharType="separate"/>
      <w:fldChar w:fldCharType="end"/>
    </w:r>
    <w:r>
      <w:rPr>
        <w:color w:val="BFBFBF"/>
        <w:sz w:val="16"/>
        <w:szCs w:val="16"/>
      </w:rPr>
      <w:t xml:space="preserve"> of </w:t>
    </w:r>
    <w:r>
      <w:rPr>
        <w:color w:val="BFBFB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b/>
        <w:bCs/>
        <w:color w:val="1F3864"/>
        <w:sz w:val="18"/>
        <w:szCs w:val="18"/>
      </w:rPr>
      <w:t xml:space="preserve">Procurement Digital Twin  </w:t>
    </w:r>
    <w:r>
      <w:rPr>
        <w:color w:val="BFBFBF"/>
        <w:sz w:val="18"/>
        <w:szCs w:val="18"/>
      </w:rPr>
      <w:t xml:space="preserve"> Implementation Approach</w:t>
    </w:r>
    <w:r>
      <w:rPr>
        <w:sz w:val="18"/>
        <w:szCs w:val="18"/>
      </w:rPr>
      <w:t xml:space="preserve">	</w:t>
    </w:r>
    <w:r>
      <w:rPr>
        <w:i/>
        <w:iCs/>
        <w:color w:val="2E75B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2026-03-27T08:24:04.073Z</dcterms:created>
  <dcterms:modified xsi:type="dcterms:W3CDTF">2026-03-27T08:24:04.074Z</dcterms:modified>
</cp:coreProperties>
</file>

<file path=docProps/custom.xml><?xml version="1.0" encoding="utf-8"?>
<Properties xmlns="http://schemas.openxmlformats.org/officeDocument/2006/custom-properties" xmlns:vt="http://schemas.openxmlformats.org/officeDocument/2006/docPropsVTypes"/>
</file>