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Koh Ka How's Project Portfolio Page</w:t>
      </w:r>
    </w:p>
    <w:p>
      <w:pPr>
        <w:pStyle w:val="Subtitle"/>
      </w:pPr>
      <w:r>
        <w:t>Project: ScheduleFlow</w:t>
      </w:r>
    </w:p>
    <w:p>
      <w:pPr>
        <w:pStyle w:val="Heading1"/>
      </w:pPr>
      <w:r>
        <w:t>Overview</w:t>
      </w:r>
    </w:p>
    <w:p>
      <w:r>
        <w:t>ScheduleFlow is a Java 25 command-line application that helps university students manage coursework, fixed commitments and study time. It generates study plans in 30-minute slots, explains work that cannot fit before its deadline, and saves records and frozen plans for later sessions.</w:t>
      </w:r>
    </w:p>
    <w:p>
      <w:pPr>
        <w:pStyle w:val="Heading1"/>
      </w:pPr>
      <w:r>
        <w:t>Summary of Contributions</w:t>
      </w:r>
    </w:p>
    <w:p>
      <w:r>
        <w:t>Given below are my contributions to the project.</w:t>
      </w:r>
    </w:p>
    <w:p>
      <w:pPr>
        <w:keepNext/>
        <w:numPr>
          <w:ilvl w:val="0"/>
          <w:numId w:val="80"/>
        </w:numPr>
        <w:spacing w:before="100"/>
      </w:pPr>
      <w:r>
        <w:rPr>
          <w:b/>
        </w:rPr>
        <w:t>New Feature: Added recoverable console sessions and live-state coordination</w:t>
      </w:r>
      <w:r>
        <w:t xml:space="preserve"> (</w:t>
      </w:r>
      <w:hyperlink r:id="rId9">
        <w:r>
          <w:rPr>
            <w:color w:val="164E78"/>
            <w:u w:val="single"/>
          </w:rPr>
          <w:t>PR #29</w:t>
        </w:r>
      </w:hyperlink>
      <w:r>
        <w:t>).</w:t>
      </w:r>
    </w:p>
    <w:p>
      <w:pPr>
        <w:keepNext w:val="0"/>
        <w:numPr>
          <w:ilvl w:val="1"/>
          <w:numId w:val="80"/>
        </w:numPr>
        <w:spacing w:before="0"/>
      </w:pPr>
      <w:r>
        <w:rPr>
          <w:b/>
        </w:rPr>
        <w:t>What it does:</w:t>
      </w:r>
      <w:r>
        <w:t xml:space="preserve"> Connects startup, input, command execution and responses. Students can correct syntax, validation and save errors at the next prompt; </w:t>
      </w:r>
      <w:r>
        <w:rPr>
          <w:rFonts w:ascii="Consolas" w:hAnsi="Consolas"/>
          <w:sz w:val="19"/>
        </w:rPr>
        <w:t>exit</w:t>
      </w:r>
      <w:r>
        <w:t xml:space="preserve"> and end of input terminate normally. Corrupt saved data stops startup before commands are accepted.</w:t>
      </w:r>
    </w:p>
    <w:p>
      <w:pPr>
        <w:keepNext w:val="0"/>
        <w:numPr>
          <w:ilvl w:val="1"/>
          <w:numId w:val="80"/>
        </w:numPr>
        <w:spacing w:before="0"/>
      </w:pPr>
      <w:r>
        <w:rPr>
          <w:b/>
        </w:rPr>
        <w:t>Justification:</w:t>
      </w:r>
      <w:r>
        <w:t xml:space="preserve"> Students can correct mistakes without restarting, while rejected changes leave their previous records and plan available.</w:t>
      </w:r>
    </w:p>
    <w:p>
      <w:pPr>
        <w:keepNext w:val="0"/>
        <w:numPr>
          <w:ilvl w:val="1"/>
          <w:numId w:val="80"/>
        </w:numPr>
        <w:spacing w:before="0"/>
      </w:pPr>
      <w:r>
        <w:rPr>
          <w:b/>
        </w:rPr>
        <w:t>Highlights:</w:t>
      </w:r>
      <w:r>
        <w:t xml:space="preserve"> Separated console I/O, rendering and session coordination; used typed command/response values and injected storage, clocks and streams. </w:t>
      </w:r>
      <w:r>
        <w:rPr>
          <w:rFonts w:ascii="Consolas" w:hAnsi="Consolas"/>
          <w:sz w:val="19"/>
        </w:rPr>
        <w:t>AppState</w:t>
      </w:r>
      <w:r>
        <w:t xml:space="preserve"> publishes saved snapshots, invalidates outdated plans and rejects stale plans. The challenge was coordinating recovery and termination across the team's parser, services and storage without hiding programming defects.</w:t>
      </w:r>
    </w:p>
    <w:p>
      <w:pPr>
        <w:keepNext/>
        <w:numPr>
          <w:ilvl w:val="0"/>
          <w:numId w:val="80"/>
        </w:numPr>
        <w:spacing w:before="100"/>
      </w:pPr>
      <w:r>
        <w:rPr>
          <w:b/>
        </w:rPr>
        <w:t>New Feature: Added consistent task and schedule presentation</w:t>
      </w:r>
      <w:r>
        <w:t xml:space="preserve"> (</w:t>
      </w:r>
      <w:hyperlink r:id="rId10">
        <w:r>
          <w:rPr>
            <w:color w:val="164E78"/>
            <w:u w:val="single"/>
          </w:rPr>
          <w:t>PR #22</w:t>
        </w:r>
      </w:hyperlink>
      <w:r>
        <w:t xml:space="preserve">, </w:t>
      </w:r>
      <w:hyperlink r:id="rId11">
        <w:r>
          <w:rPr>
            <w:color w:val="164E78"/>
            <w:u w:val="single"/>
          </w:rPr>
          <w:t>PR #87</w:t>
        </w:r>
      </w:hyperlink>
      <w:r>
        <w:t>).</w:t>
      </w:r>
    </w:p>
    <w:p>
      <w:pPr>
        <w:keepNext w:val="0"/>
        <w:numPr>
          <w:ilvl w:val="1"/>
          <w:numId w:val="80"/>
        </w:numPr>
        <w:spacing w:before="0"/>
      </w:pPr>
      <w:r>
        <w:rPr>
          <w:b/>
        </w:rPr>
        <w:t>What it does:</w:t>
      </w:r>
      <w:r>
        <w:t xml:space="preserve"> Formats help, confirmations, task/commitment lists, progress, completion/reopening, daily schedules, </w:t>
      </w:r>
      <w:r>
        <w:rPr>
          <w:rFonts w:ascii="Consolas" w:hAnsi="Consolas"/>
          <w:sz w:val="19"/>
        </w:rPr>
        <w:t>[BREAK]</w:t>
      </w:r>
      <w:r>
        <w:t xml:space="preserve"> rows and whole-plan unallocated-work explanations.</w:t>
      </w:r>
    </w:p>
    <w:p>
      <w:pPr>
        <w:keepNext w:val="0"/>
        <w:numPr>
          <w:ilvl w:val="1"/>
          <w:numId w:val="80"/>
        </w:numPr>
        <w:spacing w:before="0"/>
      </w:pPr>
      <w:r>
        <w:rPr>
          <w:b/>
        </w:rPr>
        <w:t>Justification:</w:t>
      </w:r>
      <w:r>
        <w:t xml:space="preserve"> Stable IDs, clear labels and explicit remaining work help students understand their workload and choose their next action.</w:t>
      </w:r>
    </w:p>
    <w:p>
      <w:pPr>
        <w:keepNext w:val="0"/>
        <w:numPr>
          <w:ilvl w:val="1"/>
          <w:numId w:val="80"/>
        </w:numPr>
        <w:spacing w:before="0"/>
      </w:pPr>
      <w:r>
        <w:rPr>
          <w:b/>
        </w:rPr>
        <w:t>Highlights:</w:t>
      </w:r>
      <w:r>
        <w:t xml:space="preserve"> Kept rendering free of I/O, clock reads and state changes. Preserved Unicode names and schedule boundaries, fixed locale-dependent dates, displayed midnight endpoints as </w:t>
      </w:r>
      <w:r>
        <w:rPr>
          <w:rFonts w:ascii="Consolas" w:hAnsi="Consolas"/>
          <w:sz w:val="19"/>
        </w:rPr>
        <w:t>24:00</w:t>
      </w:r>
      <w:r>
        <w:t xml:space="preserve">, and used </w:t>
      </w:r>
      <w:r>
        <w:rPr>
          <w:rFonts w:ascii="Consolas" w:hAnsi="Consolas"/>
          <w:sz w:val="19"/>
        </w:rPr>
        <w:t>long</w:t>
      </w:r>
      <w:r>
        <w:t xml:space="preserve"> totals. Distinguished exact work from reserved capacity: 45 minutes of work can occupy a 60-minute interval without inflating the work total.</w:t>
      </w:r>
    </w:p>
    <w:p>
      <w:pPr>
        <w:keepNext w:val="0"/>
        <w:numPr>
          <w:ilvl w:val="0"/>
          <w:numId w:val="80"/>
        </w:numPr>
        <w:spacing w:before="100"/>
      </w:pPr>
      <w:r>
        <w:rPr>
          <w:b/>
        </w:rPr>
        <w:t>Code contributed:</w:t>
      </w:r>
      <w:r>
        <w:t xml:space="preserve"> </w:t>
      </w:r>
      <w:hyperlink r:id="rId12">
        <w:r>
          <w:rPr>
            <w:color w:val="164E78"/>
            <w:u w:val="single"/>
          </w:rPr>
          <w:t>RepoSense code dashboard</w:t>
        </w:r>
      </w:hyperlink>
      <w:r>
        <w:t xml:space="preserve">. My area comprises </w:t>
      </w:r>
      <w:r>
        <w:rPr>
          <w:rFonts w:ascii="Consolas" w:hAnsi="Consolas"/>
          <w:sz w:val="19"/>
        </w:rPr>
        <w:t>Main</w:t>
      </w:r>
      <w:r>
        <w:t xml:space="preserve">, </w:t>
      </w:r>
      <w:r>
        <w:rPr>
          <w:rFonts w:ascii="Consolas" w:hAnsi="Consolas"/>
          <w:sz w:val="19"/>
        </w:rPr>
        <w:t>App</w:t>
      </w:r>
      <w:r>
        <w:t xml:space="preserve">, </w:t>
      </w:r>
      <w:r>
        <w:rPr>
          <w:rFonts w:ascii="Consolas" w:hAnsi="Consolas"/>
          <w:sz w:val="19"/>
        </w:rPr>
        <w:t>AppState</w:t>
      </w:r>
      <w:r>
        <w:t xml:space="preserve">, </w:t>
      </w:r>
      <w:r>
        <w:rPr>
          <w:rFonts w:ascii="Consolas" w:hAnsi="Consolas"/>
          <w:sz w:val="19"/>
        </w:rPr>
        <w:t>Command</w:t>
      </w:r>
      <w:r>
        <w:t xml:space="preserve">, </w:t>
      </w:r>
      <w:r>
        <w:rPr>
          <w:rFonts w:ascii="Consolas" w:hAnsi="Consolas"/>
          <w:sz w:val="19"/>
        </w:rPr>
        <w:t>CommandResponse</w:t>
      </w:r>
      <w:r>
        <w:t xml:space="preserve">, </w:t>
      </w:r>
      <w:r>
        <w:rPr>
          <w:rFonts w:ascii="Consolas" w:hAnsi="Consolas"/>
          <w:sz w:val="19"/>
        </w:rPr>
        <w:t>ConsoleUi</w:t>
      </w:r>
      <w:r>
        <w:t xml:space="preserve"> and </w:t>
      </w:r>
      <w:r>
        <w:rPr>
          <w:rFonts w:ascii="Consolas" w:hAnsi="Consolas"/>
          <w:sz w:val="19"/>
        </w:rPr>
        <w:t>TextRenderer</w:t>
      </w:r>
      <w:r>
        <w:t>, plus their tests.</w:t>
      </w:r>
    </w:p>
    <w:p>
      <w:pPr>
        <w:keepNext/>
        <w:numPr>
          <w:ilvl w:val="0"/>
          <w:numId w:val="80"/>
        </w:numPr>
        <w:spacing w:before="100"/>
      </w:pPr>
      <w:r>
        <w:rPr>
          <w:b/>
        </w:rPr>
        <w:t>Project management:</w:t>
      </w:r>
    </w:p>
    <w:p>
      <w:pPr>
        <w:keepNext w:val="0"/>
        <w:numPr>
          <w:ilvl w:val="1"/>
          <w:numId w:val="80"/>
        </w:numPr>
        <w:spacing w:before="0"/>
      </w:pPr>
      <w:r>
        <w:t>Established the shared Java 25 foundation and public contracts so team members could work independently (</w:t>
      </w:r>
      <w:hyperlink r:id="rId13">
        <w:r>
          <w:rPr>
            <w:color w:val="164E78"/>
            <w:u w:val="single"/>
          </w:rPr>
          <w:t>PR #1</w:t>
        </w:r>
      </w:hyperlink>
      <w:r>
        <w:t>).</w:t>
      </w:r>
    </w:p>
    <w:p>
      <w:pPr>
        <w:keepNext w:val="0"/>
        <w:numPr>
          <w:ilvl w:val="1"/>
          <w:numId w:val="80"/>
        </w:numPr>
        <w:spacing w:before="0"/>
      </w:pPr>
      <w:r>
        <w:t xml:space="preserve">Published </w:t>
      </w:r>
      <w:r>
        <w:rPr>
          <w:b/>
        </w:rPr>
        <w:t>two releases</w:t>
      </w:r>
      <w:r>
        <w:t xml:space="preserve">, </w:t>
      </w:r>
      <w:hyperlink r:id="rId14">
        <w:r>
          <w:rPr>
            <w:color w:val="164E78"/>
            <w:u w:val="single"/>
          </w:rPr>
          <w:t>v1.0</w:t>
        </w:r>
      </w:hyperlink>
      <w:r>
        <w:t xml:space="preserve"> and </w:t>
      </w:r>
      <w:hyperlink r:id="rId15">
        <w:r>
          <w:rPr>
            <w:color w:val="164E78"/>
            <w:u w:val="single"/>
          </w:rPr>
          <w:t>v2.0</w:t>
        </w:r>
      </w:hyperlink>
      <w:r>
        <w:t xml:space="preserve">, uploading </w:t>
      </w:r>
      <w:r>
        <w:rPr>
          <w:rFonts w:ascii="Consolas" w:hAnsi="Consolas"/>
          <w:sz w:val="19"/>
        </w:rPr>
        <w:t>scheduleflow.jar</w:t>
      </w:r>
      <w:r>
        <w:t xml:space="preserve"> with release notes, launch instructions and limitations.</w:t>
      </w:r>
    </w:p>
    <w:p>
      <w:pPr>
        <w:keepNext w:val="0"/>
        <w:numPr>
          <w:ilvl w:val="1"/>
          <w:numId w:val="80"/>
        </w:numPr>
        <w:spacing w:before="0"/>
      </w:pPr>
      <w:r>
        <w:t xml:space="preserve">Created user stories for </w:t>
      </w:r>
      <w:hyperlink r:id="rId16">
        <w:r>
          <w:rPr>
            <w:color w:val="164E78"/>
            <w:u w:val="single"/>
          </w:rPr>
          <w:t>viewing completed tasks</w:t>
        </w:r>
      </w:hyperlink>
      <w:r>
        <w:t xml:space="preserve"> and </w:t>
      </w:r>
      <w:hyperlink r:id="rId17">
        <w:r>
          <w:rPr>
            <w:color w:val="164E78"/>
            <w:u w:val="single"/>
          </w:rPr>
          <w:t>weekly recurring tasks</w:t>
        </w:r>
      </w:hyperlink>
      <w:r>
        <w:t xml:space="preserve">, and tracked the team's </w:t>
      </w:r>
      <w:hyperlink r:id="rId18">
        <w:r>
          <w:rPr>
            <w:color w:val="164E78"/>
            <w:u w:val="single"/>
          </w:rPr>
          <w:t>UG</w:t>
        </w:r>
      </w:hyperlink>
      <w:r>
        <w:t xml:space="preserve">, </w:t>
      </w:r>
      <w:hyperlink r:id="rId19">
        <w:r>
          <w:rPr>
            <w:color w:val="164E78"/>
            <w:u w:val="single"/>
          </w:rPr>
          <w:t>DG</w:t>
        </w:r>
      </w:hyperlink>
      <w:r>
        <w:t xml:space="preserve"> and </w:t>
      </w:r>
      <w:hyperlink r:id="rId20">
        <w:r>
          <w:rPr>
            <w:color w:val="164E78"/>
            <w:u w:val="single"/>
          </w:rPr>
          <w:t>PPP</w:t>
        </w:r>
      </w:hyperlink>
      <w:r>
        <w:t xml:space="preserve"> deliverables.</w:t>
      </w:r>
    </w:p>
    <w:p>
      <w:pPr>
        <w:keepNext/>
        <w:pageBreakBefore/>
        <w:numPr>
          <w:ilvl w:val="0"/>
          <w:numId w:val="80"/>
        </w:numPr>
        <w:spacing w:before="100"/>
      </w:pPr>
      <w:r>
        <w:rPr>
          <w:b/>
        </w:rPr>
        <w:t>Enhancements to existing features:</w:t>
      </w:r>
    </w:p>
    <w:p>
      <w:pPr>
        <w:keepNext w:val="0"/>
        <w:numPr>
          <w:ilvl w:val="1"/>
          <w:numId w:val="80"/>
        </w:numPr>
        <w:spacing w:before="0"/>
      </w:pPr>
      <w:r>
        <w:rPr>
          <w:b/>
        </w:rPr>
        <w:t>Console reliability:</w:t>
      </w:r>
      <w:r>
        <w:t xml:space="preserve"> Detected suppressed writer/flush failures and stopped with status 1 before another command read, without retrying failed output. Preserved already-saved changes. Added 12 focused regression tests, including controlled writer failures and isolated child JVMs (</w:t>
      </w:r>
      <w:hyperlink r:id="rId21">
        <w:r>
          <w:rPr>
            <w:color w:val="164E78"/>
            <w:u w:val="single"/>
          </w:rPr>
          <w:t>PR #123</w:t>
        </w:r>
      </w:hyperlink>
      <w:r>
        <w:t>).</w:t>
      </w:r>
    </w:p>
    <w:p>
      <w:pPr>
        <w:keepNext w:val="0"/>
        <w:numPr>
          <w:ilvl w:val="1"/>
          <w:numId w:val="80"/>
        </w:numPr>
        <w:spacing w:before="0"/>
      </w:pPr>
      <w:r>
        <w:rPr>
          <w:b/>
        </w:rPr>
        <w:t>Reopening completed tasks:</w:t>
      </w:r>
      <w:r>
        <w:t xml:space="preserve"> Connected parsing and dispatch to the existing reopening service so students can correct mistaken completion. Preserved task metadata and saved changes before invalidating the plan (</w:t>
      </w:r>
      <w:hyperlink r:id="rId22">
        <w:r>
          <w:rPr>
            <w:color w:val="164E78"/>
            <w:u w:val="single"/>
          </w:rPr>
          <w:t>PR #91</w:t>
        </w:r>
      </w:hyperlink>
      <w:r>
        <w:t>).</w:t>
      </w:r>
    </w:p>
    <w:p>
      <w:pPr>
        <w:keepNext w:val="0"/>
        <w:numPr>
          <w:ilvl w:val="1"/>
          <w:numId w:val="80"/>
        </w:numPr>
        <w:spacing w:before="0"/>
      </w:pPr>
      <w:r>
        <w:rPr>
          <w:b/>
        </w:rPr>
        <w:t>Regression coverage:</w:t>
      </w:r>
      <w:r>
        <w:t xml:space="preserve"> Added JUnit 5 tests for startup/restart, failed-save recovery, stale-plan rejection and exact output. Covered Unicode, empty results, midnight, leap days, non-English locales and large totals using fixed clocks, temporary storage and restored JVM settings (</w:t>
      </w:r>
      <w:hyperlink r:id="rId23">
        <w:r>
          <w:rPr>
            <w:color w:val="164E78"/>
            <w:u w:val="single"/>
          </w:rPr>
          <w:t>application tests</w:t>
        </w:r>
      </w:hyperlink>
      <w:r>
        <w:t xml:space="preserve">, </w:t>
      </w:r>
      <w:hyperlink r:id="rId24">
        <w:r>
          <w:rPr>
            <w:color w:val="164E78"/>
            <w:u w:val="single"/>
          </w:rPr>
          <w:t>renderer tests</w:t>
        </w:r>
      </w:hyperlink>
      <w:r>
        <w:t xml:space="preserve">, </w:t>
      </w:r>
      <w:hyperlink r:id="rId25">
        <w:r>
          <w:rPr>
            <w:color w:val="164E78"/>
            <w:u w:val="single"/>
          </w:rPr>
          <w:t>entry-point tests</w:t>
        </w:r>
      </w:hyperlink>
      <w:r>
        <w:t>).</w:t>
      </w:r>
    </w:p>
    <w:p>
      <w:pPr>
        <w:keepNext w:val="0"/>
        <w:numPr>
          <w:ilvl w:val="1"/>
          <w:numId w:val="80"/>
        </w:numPr>
        <w:spacing w:before="0"/>
      </w:pPr>
      <w:r>
        <w:rPr>
          <w:b/>
        </w:rPr>
        <w:t>Packaged acceptance:</w:t>
      </w:r>
      <w:r>
        <w:t xml:space="preserve"> Built the isolated console runner with per-command assertions and transcripts (</w:t>
      </w:r>
      <w:hyperlink r:id="rId13">
        <w:r>
          <w:rPr>
            <w:color w:val="164E78"/>
            <w:u w:val="single"/>
          </w:rPr>
          <w:t>PR #1</w:t>
        </w:r>
      </w:hyperlink>
      <w:r>
        <w:t xml:space="preserve">); maintained the </w:t>
      </w:r>
      <w:hyperlink r:id="rId26">
        <w:r>
          <w:rPr>
            <w:color w:val="164E78"/>
            <w:u w:val="single"/>
          </w:rPr>
          <w:t>UI plan</w:t>
        </w:r>
      </w:hyperlink>
      <w:r>
        <w:t>. Added UI-035 for impossible saved work and UI-036 for edits after commitment skips, checking rejection, preserved data/plans and saved restarts.</w:t>
      </w:r>
    </w:p>
    <w:p>
      <w:pPr>
        <w:keepNext/>
        <w:numPr>
          <w:ilvl w:val="0"/>
          <w:numId w:val="80"/>
        </w:numPr>
        <w:spacing w:before="100"/>
      </w:pPr>
      <w:r>
        <w:rPr>
          <w:b/>
        </w:rPr>
        <w:t>Documentation:</w:t>
      </w:r>
    </w:p>
    <w:p>
      <w:pPr>
        <w:keepNext w:val="0"/>
        <w:numPr>
          <w:ilvl w:val="1"/>
          <w:numId w:val="80"/>
        </w:numPr>
        <w:spacing w:before="0"/>
      </w:pPr>
      <w:r>
        <w:rPr>
          <w:b/>
        </w:rPr>
        <w:t>User Guide:</w:t>
      </w:r>
      <w:r>
        <w:t xml:space="preserve"> Wrote the introduction, </w:t>
      </w:r>
      <w:hyperlink r:id="rId27">
        <w:r>
          <w:rPr>
            <w:color w:val="164E78"/>
            <w:u w:val="single"/>
          </w:rPr>
          <w:t>command conventions</w:t>
        </w:r>
      </w:hyperlink>
      <w:r>
        <w:t xml:space="preserve">, </w:t>
      </w:r>
      <w:hyperlink r:id="rId28">
        <w:r>
          <w:rPr>
            <w:color w:val="164E78"/>
            <w:u w:val="single"/>
          </w:rPr>
          <w:t>commitment-list examples</w:t>
        </w:r>
      </w:hyperlink>
      <w:r>
        <w:t xml:space="preserve">, </w:t>
      </w:r>
      <w:hyperlink r:id="rId29">
        <w:r>
          <w:rPr>
            <w:color w:val="164E78"/>
            <w:u w:val="single"/>
          </w:rPr>
          <w:t>schedule labels</w:t>
        </w:r>
      </w:hyperlink>
      <w:r>
        <w:t xml:space="preserve">, </w:t>
      </w:r>
      <w:hyperlink r:id="rId30">
        <w:r>
          <w:rPr>
            <w:color w:val="164E78"/>
            <w:u w:val="single"/>
          </w:rPr>
          <w:t>worked schedule example</w:t>
        </w:r>
      </w:hyperlink>
      <w:r>
        <w:t xml:space="preserve">, </w:t>
      </w:r>
      <w:hyperlink r:id="rId31">
        <w:r>
          <w:rPr>
            <w:color w:val="164E78"/>
            <w:u w:val="single"/>
          </w:rPr>
          <w:t>help/exit</w:t>
        </w:r>
      </w:hyperlink>
      <w:r>
        <w:t xml:space="preserve"> and </w:t>
      </w:r>
      <w:hyperlink r:id="rId32">
        <w:r>
          <w:rPr>
            <w:color w:val="164E78"/>
            <w:u w:val="single"/>
          </w:rPr>
          <w:t>command summary</w:t>
        </w:r>
      </w:hyperlink>
      <w:r>
        <w:t>. Improved navigation and checked examples against console behaviour (</w:t>
      </w:r>
      <w:hyperlink r:id="rId33">
        <w:r>
          <w:rPr>
            <w:color w:val="164E78"/>
            <w:u w:val="single"/>
          </w:rPr>
          <w:t>PR #106</w:t>
        </w:r>
      </w:hyperlink>
      <w:r>
        <w:t xml:space="preserve">, </w:t>
      </w:r>
      <w:hyperlink r:id="rId34">
        <w:r>
          <w:rPr>
            <w:color w:val="164E78"/>
            <w:u w:val="single"/>
          </w:rPr>
          <w:t>PR #134</w:t>
        </w:r>
      </w:hyperlink>
      <w:r>
        <w:t>).</w:t>
      </w:r>
    </w:p>
    <w:p>
      <w:pPr>
        <w:keepNext w:val="0"/>
        <w:numPr>
          <w:ilvl w:val="1"/>
          <w:numId w:val="80"/>
        </w:numPr>
        <w:spacing w:before="0"/>
      </w:pPr>
      <w:r>
        <w:rPr>
          <w:b/>
        </w:rPr>
        <w:t>Developer Guide:</w:t>
      </w:r>
      <w:r>
        <w:t xml:space="preserve"> Wrote </w:t>
      </w:r>
      <w:hyperlink r:id="rId35">
        <w:r>
          <w:rPr>
            <w:color w:val="164E78"/>
            <w:u w:val="single"/>
          </w:rPr>
          <w:t>console design</w:t>
        </w:r>
      </w:hyperlink>
      <w:r>
        <w:t xml:space="preserve">, </w:t>
      </w:r>
      <w:hyperlink r:id="rId36">
        <w:r>
          <w:rPr>
            <w:color w:val="164E78"/>
            <w:u w:val="single"/>
          </w:rPr>
          <w:t>interaction/rendering</w:t>
        </w:r>
      </w:hyperlink>
      <w:r>
        <w:t>, setup, verification, scope and manual console testing; reorganized the guide around AB3 (</w:t>
      </w:r>
      <w:hyperlink r:id="rId37">
        <w:r>
          <w:rPr>
            <w:color w:val="164E78"/>
            <w:u w:val="single"/>
          </w:rPr>
          <w:t>PR #100</w:t>
        </w:r>
      </w:hyperlink>
      <w:r>
        <w:t xml:space="preserve">). Added the </w:t>
      </w:r>
      <w:hyperlink r:id="rId38">
        <w:r>
          <w:rPr>
            <w:color w:val="164E78"/>
            <w:u w:val="single"/>
          </w:rPr>
          <w:t>console class diagram</w:t>
        </w:r>
      </w:hyperlink>
      <w:r>
        <w:t xml:space="preserve"> and </w:t>
      </w:r>
      <w:hyperlink r:id="rId39">
        <w:r>
          <w:rPr>
            <w:color w:val="164E78"/>
            <w:u w:val="single"/>
          </w:rPr>
          <w:t>command-loop sequence diagram</w:t>
        </w:r>
      </w:hyperlink>
      <w:r>
        <w:t>, then added the architecture overview and corrected notation across all eleven guide diagrams (</w:t>
      </w:r>
      <w:hyperlink r:id="rId40">
        <w:r>
          <w:rPr>
            <w:color w:val="164E78"/>
            <w:u w:val="single"/>
          </w:rPr>
          <w:t>PR #120</w:t>
        </w:r>
      </w:hyperlink>
      <w:r>
        <w:t>).</w:t>
      </w:r>
    </w:p>
    <w:p>
      <w:pPr>
        <w:keepNext w:val="0"/>
        <w:numPr>
          <w:ilvl w:val="1"/>
          <w:numId w:val="80"/>
        </w:numPr>
        <w:spacing w:before="0"/>
      </w:pPr>
      <w:r>
        <w:t>Exported both guides as PDFs and checked their content, links and rendered layouts for portable offline documentation (</w:t>
      </w:r>
      <w:hyperlink r:id="rId41">
        <w:r>
          <w:rPr>
            <w:color w:val="164E78"/>
            <w:u w:val="single"/>
          </w:rPr>
          <w:t>PR #119</w:t>
        </w:r>
      </w:hyperlink>
      <w:r>
        <w:t>).</w:t>
      </w:r>
    </w:p>
    <w:p>
      <w:pPr>
        <w:keepNext/>
        <w:numPr>
          <w:ilvl w:val="0"/>
          <w:numId w:val="80"/>
        </w:numPr>
        <w:spacing w:before="100"/>
      </w:pPr>
      <w:r>
        <w:rPr>
          <w:b/>
        </w:rPr>
        <w:t>Community:</w:t>
      </w:r>
    </w:p>
    <w:p>
      <w:pPr>
        <w:keepNext w:val="0"/>
        <w:numPr>
          <w:ilvl w:val="1"/>
          <w:numId w:val="80"/>
        </w:numPr>
        <w:spacing w:before="0"/>
      </w:pPr>
      <w:r>
        <w:t>Reviewed frozen-plan invariants and regression coverage for overlap, timing, task references and accounting (</w:t>
      </w:r>
      <w:hyperlink r:id="rId42">
        <w:r>
          <w:rPr>
            <w:color w:val="164E78"/>
            <w:u w:val="single"/>
          </w:rPr>
          <w:t>PR #127 review</w:t>
        </w:r>
      </w:hyperlink>
      <w:r>
        <w:t>). Commented on recurrence coverage across components and saved restarts (</w:t>
      </w:r>
      <w:hyperlink r:id="rId43">
        <w:r>
          <w:rPr>
            <w:color w:val="164E78"/>
            <w:u w:val="single"/>
          </w:rPr>
          <w:t>PR #76 review</w:t>
        </w:r>
      </w:hyperlink>
      <w:r>
        <w:t>).</w:t>
      </w:r>
    </w:p>
    <w:p>
      <w:pPr>
        <w:keepNext w:val="0"/>
        <w:numPr>
          <w:ilvl w:val="1"/>
          <w:numId w:val="80"/>
        </w:numPr>
        <w:spacing w:before="0"/>
      </w:pPr>
      <w:r>
        <w:t>Added contributor guidance requiring Javadoc and meaningful JUnit regression tests, and repaired team profile/portfolio navigation (</w:t>
      </w:r>
      <w:hyperlink r:id="rId10">
        <w:r>
          <w:rPr>
            <w:color w:val="164E78"/>
            <w:u w:val="single"/>
          </w:rPr>
          <w:t>PR #22</w:t>
        </w:r>
      </w:hyperlink>
      <w:r>
        <w:t xml:space="preserve">, </w:t>
      </w:r>
      <w:hyperlink r:id="rId44">
        <w:r>
          <w:rPr>
            <w:color w:val="164E78"/>
            <w:u w:val="single"/>
          </w:rPr>
          <w:t>PR #101</w:t>
        </w:r>
      </w:hyperlink>
      <w:r>
        <w:t>).</w:t>
      </w:r>
    </w:p>
    <w:p>
      <w:pPr>
        <w:keepNext w:val="0"/>
        <w:numPr>
          <w:ilvl w:val="0"/>
          <w:numId w:val="80"/>
        </w:numPr>
        <w:spacing w:before="100"/>
      </w:pPr>
      <w:r>
        <w:rPr>
          <w:b/>
        </w:rPr>
        <w:t>Tools:</w:t>
      </w:r>
      <w:r>
        <w:t xml:space="preserve"> Extended the existing Ubuntu/macOS/Windows CI matrix to run the Java 25 build, runner self-tests, console scenarios and packaged release checks, retaining reports after failures (</w:t>
      </w:r>
      <w:hyperlink r:id="rId21">
        <w:r>
          <w:rPr>
            <w:color w:val="164E78"/>
            <w:u w:val="single"/>
          </w:rPr>
          <w:t>PR #123</w:t>
        </w:r>
      </w:hyperlink>
      <w:r>
        <w:t>). Fixed Shadow JAR distribution classpaths and enabled launcher assertions (</w:t>
      </w:r>
      <w:hyperlink r:id="rId45">
        <w:r>
          <w:rPr>
            <w:color w:val="164E78"/>
            <w:u w:val="single"/>
          </w:rPr>
          <w:t>PR #35</w:t>
        </w:r>
      </w:hyperlink>
      <w:r>
        <w:t>). CI configuration is not evidence that every hosted platform passed.</w:t>
      </w:r>
    </w:p>
    <w:sectPr w:rsidR="00FC693F" w:rsidRPr="0006063C" w:rsidSect="00034616">
      <w:footerReference w:type="default" r:id="rId46"/>
      <w:pgSz w:w="11906" w:h="16838"/>
      <w:pgMar w:top="1020" w:right="1077" w:bottom="964" w:left="107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0">
    <w:lvl w:ilvl="0">
      <w:start w:val="1"/>
      <w:numFmt w:val="bullet"/>
      <w:lvlText w:val="•"/>
      <w:lvlJc w:val="left"/>
      <w:pPr>
        <w:ind w:left="250" w:hanging="200"/>
      </w:pPr>
    </w:lvl>
    <w:lvl w:ilvl="1">
      <w:start w:val="1"/>
      <w:numFmt w:val="bullet"/>
      <w:lvlText w:val="◦"/>
      <w:lvlJc w:val="left"/>
      <w:pPr>
        <w:ind w:left="530" w:hanging="200"/>
      </w:pPr>
    </w:lvl>
    <w:lvl w:ilvl="2">
      <w:start w:val="1"/>
      <w:numFmt w:val="bullet"/>
      <w:lvlText w:val="◦"/>
      <w:lvlJc w:val="left"/>
      <w:pPr>
        <w:ind w:left="810" w:hanging="200"/>
      </w:pPr>
    </w:lvl>
  </w:abstractNum>
  <w:num w:numId="80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7" w:lineRule="auto" w:after="8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80" w:line="247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47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 w:line="247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80" w:line="247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47" w:lineRule="auto"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47" w:lineRule="auto" w:after="80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widowControl/>
      <w:numPr>
        <w:numId w:val="2"/>
      </w:numPr>
      <w:spacing w:line="247" w:lineRule="auto" w:after="80"/>
      <w:contextualSpacing/>
    </w:pPr>
    <w:rPr>
      <w:rFonts w:ascii="Calibri" w:hAnsi="Calibri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Y2627S1-CS2113-T10-1/tp/pull/29" TargetMode="External"/><Relationship Id="rId10" Type="http://schemas.openxmlformats.org/officeDocument/2006/relationships/hyperlink" Target="https://github.com/AY2627S1-CS2113-T10-1/tp/pull/22" TargetMode="External"/><Relationship Id="rId11" Type="http://schemas.openxmlformats.org/officeDocument/2006/relationships/hyperlink" Target="https://github.com/AY2627S1-CS2113-T10-1/tp/pull/87" TargetMode="External"/><Relationship Id="rId12" Type="http://schemas.openxmlformats.org/officeDocument/2006/relationships/hyperlink" Target="https://NUS-CS2113-AY2627-S1.github.io/tp-dashboard/?search=ka-how&amp;breakdown=true" TargetMode="External"/><Relationship Id="rId13" Type="http://schemas.openxmlformats.org/officeDocument/2006/relationships/hyperlink" Target="https://github.com/AY2627S1-CS2113-T10-1/tp/pull/1" TargetMode="External"/><Relationship Id="rId14" Type="http://schemas.openxmlformats.org/officeDocument/2006/relationships/hyperlink" Target="https://github.com/AY2627S1-CS2113-T10-1/tp/releases/tag/v1.0" TargetMode="External"/><Relationship Id="rId15" Type="http://schemas.openxmlformats.org/officeDocument/2006/relationships/hyperlink" Target="https://github.com/AY2627S1-CS2113-T10-1/tp/releases/tag/v2.0" TargetMode="External"/><Relationship Id="rId16" Type="http://schemas.openxmlformats.org/officeDocument/2006/relationships/hyperlink" Target="https://github.com/AY2627S1-CS2113-T10-1/tp/issues/65" TargetMode="External"/><Relationship Id="rId17" Type="http://schemas.openxmlformats.org/officeDocument/2006/relationships/hyperlink" Target="https://github.com/AY2627S1-CS2113-T10-1/tp/issues/67" TargetMode="External"/><Relationship Id="rId18" Type="http://schemas.openxmlformats.org/officeDocument/2006/relationships/hyperlink" Target="https://github.com/AY2627S1-CS2113-T10-1/tp/issues/97" TargetMode="External"/><Relationship Id="rId19" Type="http://schemas.openxmlformats.org/officeDocument/2006/relationships/hyperlink" Target="https://github.com/AY2627S1-CS2113-T10-1/tp/issues/96" TargetMode="External"/><Relationship Id="rId20" Type="http://schemas.openxmlformats.org/officeDocument/2006/relationships/hyperlink" Target="https://github.com/AY2627S1-CS2113-T10-1/tp/issues/98" TargetMode="External"/><Relationship Id="rId21" Type="http://schemas.openxmlformats.org/officeDocument/2006/relationships/hyperlink" Target="https://github.com/AY2627S1-CS2113-T10-1/tp/pull/123" TargetMode="External"/><Relationship Id="rId22" Type="http://schemas.openxmlformats.org/officeDocument/2006/relationships/hyperlink" Target="https://github.com/AY2627S1-CS2113-T10-1/tp/pull/91" TargetMode="External"/><Relationship Id="rId23" Type="http://schemas.openxmlformats.org/officeDocument/2006/relationships/hyperlink" Target="https://github.com/AY2627S1-CS2113-T10-1/tp/blob/master/src/test/java/scheduleflow/cli/AppTest.java" TargetMode="External"/><Relationship Id="rId24" Type="http://schemas.openxmlformats.org/officeDocument/2006/relationships/hyperlink" Target="https://github.com/AY2627S1-CS2113-T10-1/tp/blob/master/src/test/java/scheduleflow/cli/TextRendererTest.java" TargetMode="External"/><Relationship Id="rId25" Type="http://schemas.openxmlformats.org/officeDocument/2006/relationships/hyperlink" Target="https://github.com/AY2627S1-CS2113-T10-1/tp/blob/master/src/test/java/scheduleflow/MainTest.java" TargetMode="External"/><Relationship Id="rId26" Type="http://schemas.openxmlformats.org/officeDocument/2006/relationships/hyperlink" Target="https://github.com/AY2627S1-CS2113-T10-1/tp/blob/master/test/ui-test-plan.md" TargetMode="External"/><Relationship Id="rId27" Type="http://schemas.openxmlformats.org/officeDocument/2006/relationships/hyperlink" Target="https://github.com/AY2627S1-CS2113-T10-1/tp/blob/master/docs/UserGuide.md#command-format" TargetMode="External"/><Relationship Id="rId28" Type="http://schemas.openxmlformats.org/officeDocument/2006/relationships/hyperlink" Target="https://github.com/AY2627S1-CS2113-T10-1/tp/blob/master/docs/UserGuide.md#listing-commitments" TargetMode="External"/><Relationship Id="rId29" Type="http://schemas.openxmlformats.org/officeDocument/2006/relationships/hyperlink" Target="https://github.com/AY2627S1-CS2113-T10-1/tp/blob/master/docs/UserGuide.md#schedule-labels" TargetMode="External"/><Relationship Id="rId30" Type="http://schemas.openxmlformats.org/officeDocument/2006/relationships/hyperlink" Target="https://github.com/AY2627S1-CS2113-T10-1/tp/blob/master/docs/UserGuide.md#worked-schedule-example" TargetMode="External"/><Relationship Id="rId31" Type="http://schemas.openxmlformats.org/officeDocument/2006/relationships/hyperlink" Target="https://github.com/AY2627S1-CS2113-T10-1/tp/blob/master/docs/UserGuide.md#help-and-exit" TargetMode="External"/><Relationship Id="rId32" Type="http://schemas.openxmlformats.org/officeDocument/2006/relationships/hyperlink" Target="https://github.com/AY2627S1-CS2113-T10-1/tp/blob/master/docs/UserGuide.md#command-summary" TargetMode="External"/><Relationship Id="rId33" Type="http://schemas.openxmlformats.org/officeDocument/2006/relationships/hyperlink" Target="https://github.com/AY2627S1-CS2113-T10-1/tp/pull/106" TargetMode="External"/><Relationship Id="rId34" Type="http://schemas.openxmlformats.org/officeDocument/2006/relationships/hyperlink" Target="https://github.com/AY2627S1-CS2113-T10-1/tp/pull/134" TargetMode="External"/><Relationship Id="rId35" Type="http://schemas.openxmlformats.org/officeDocument/2006/relationships/hyperlink" Target="https://github.com/AY2627S1-CS2113-T10-1/tp/blob/master/docs/DeveloperGuide.md#console-application-and-presentation" TargetMode="External"/><Relationship Id="rId36" Type="http://schemas.openxmlformats.org/officeDocument/2006/relationships/hyperlink" Target="https://github.com/AY2627S1-CS2113-T10-1/tp/blob/master/docs/DeveloperGuide.md#recoverable-console-interaction-and-deterministic-rendering" TargetMode="External"/><Relationship Id="rId37" Type="http://schemas.openxmlformats.org/officeDocument/2006/relationships/hyperlink" Target="https://github.com/AY2627S1-CS2113-T10-1/tp/pull/100" TargetMode="External"/><Relationship Id="rId38" Type="http://schemas.openxmlformats.org/officeDocument/2006/relationships/hyperlink" Target="https://github.com/AY2627S1-CS2113-T10-1/tp/blob/master/docs/images/diagrams/ka-how-console-classes.svg" TargetMode="External"/><Relationship Id="rId39" Type="http://schemas.openxmlformats.org/officeDocument/2006/relationships/hyperlink" Target="https://github.com/AY2627S1-CS2113-T10-1/tp/blob/master/docs/images/diagrams/ka-how-command-loop.svg" TargetMode="External"/><Relationship Id="rId40" Type="http://schemas.openxmlformats.org/officeDocument/2006/relationships/hyperlink" Target="https://github.com/AY2627S1-CS2113-T10-1/tp/pull/120" TargetMode="External"/><Relationship Id="rId41" Type="http://schemas.openxmlformats.org/officeDocument/2006/relationships/hyperlink" Target="https://github.com/AY2627S1-CS2113-T10-1/tp/pull/119" TargetMode="External"/><Relationship Id="rId42" Type="http://schemas.openxmlformats.org/officeDocument/2006/relationships/hyperlink" Target="https://github.com/AY2627S1-CS2113-T10-1/tp/pull/127#pullrequestreview-5725879665" TargetMode="External"/><Relationship Id="rId43" Type="http://schemas.openxmlformats.org/officeDocument/2006/relationships/hyperlink" Target="https://github.com/AY2627S1-CS2113-T10-1/tp/pull/76#pullrequestreview-5623696993" TargetMode="External"/><Relationship Id="rId44" Type="http://schemas.openxmlformats.org/officeDocument/2006/relationships/hyperlink" Target="https://github.com/AY2627S1-CS2113-T10-1/tp/pull/101" TargetMode="External"/><Relationship Id="rId45" Type="http://schemas.openxmlformats.org/officeDocument/2006/relationships/hyperlink" Target="https://github.com/AY2627S1-CS2113-T10-1/tp/pull/35" TargetMode="External"/><Relationship Id="rId4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Koh Ka How's Project Portfolio Page</dc:title>
  <dc:subject>ScheduleFlow project contributions</dc:subject>
  <dc:creator>Koh Ka How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