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N-Frame / CERN Comprehensive Handoff</w:t>
      </w:r>
    </w:p>
    <w:p>
      <w:pPr>
        <w:jc w:val="center"/>
      </w:pPr>
      <w:r>
        <w:rPr>
          <w:b/>
          <w:sz w:val="22"/>
        </w:rPr>
        <w:t>Verified project state, continuation instructions, and evidence audit</w:t>
      </w:r>
    </w:p>
    <w:p>
      <w:pPr>
        <w:jc w:val="center"/>
      </w:pPr>
      <w:r>
        <w:t>Prepared for Darren - 24 June 2026</w:t>
      </w:r>
    </w:p>
    <w:p>
      <w:pPr>
        <w:pStyle w:val="Heading1"/>
      </w:pPr>
      <w:r>
        <w:t>Executive conclusion</w:t>
      </w:r>
    </w:p>
    <w:p>
      <w:r>
        <w:t>No direct SUSY discovery, hidden-sector discovery, or credible collider anomaly has been established. The package preserves the full exploratory history but separates it from the corrected independent results.</w:t>
      </w:r>
    </w:p>
    <w:p>
      <w:pPr>
        <w:pStyle w:val="Heading1"/>
      </w:pPr>
      <w:r>
        <w:t>Verified current findings</w:t>
      </w:r>
    </w:p>
    <w:p>
      <w:pPr>
        <w:pStyle w:val="ListBullet"/>
      </w:pPr>
      <w:r>
        <w:t>The corrected, disjoint Run2016G-to-Run2016H data-driven MET comparison is null under its stated model (local Z about 0.77).</w:t>
      </w:r>
    </w:p>
    <w:p>
      <w:pPr>
        <w:pStyle w:val="ListBullet"/>
      </w:pPr>
      <w:r>
        <w:t>The record-level benchmark test finds the full N-Frame feature set improved AUC in all five held-out signal records, but only p = 0.061 (Z = 1.55) because five records are the independent units.</w:t>
      </w:r>
    </w:p>
    <w:p>
      <w:pPr>
        <w:pStyle w:val="ListBullet"/>
      </w:pPr>
      <w:r>
        <w:t>Current MC/control machinery is incomplete: exact W3Jets and two TT-associated sums exist; QCD/diboson work is partial; complete Z-to-neutrinos and inclusive-top coverage remains unresolved.</w:t>
      </w:r>
    </w:p>
    <w:p>
      <w:pPr>
        <w:pStyle w:val="ListBullet"/>
      </w:pPr>
      <w:r>
        <w:t>The next credible analysis must be a predeclared process-resolved control-region model, or a substantially expanded record-held-out benchmark study.</w:t>
      </w:r>
    </w:p>
    <w:p>
      <w:pPr>
        <w:pStyle w:val="Heading1"/>
      </w:pPr>
      <w:r>
        <w:t>Package map</w:t>
      </w:r>
    </w:p>
    <w:p>
      <w:pPr>
        <w:pStyle w:val="ListBullet"/>
      </w:pPr>
      <w:r>
        <w:t>01_EXECUTIVE_STATUS.md: current status and scope.</w:t>
      </w:r>
    </w:p>
    <w:p>
      <w:pPr>
        <w:pStyle w:val="ListBullet"/>
      </w:pPr>
      <w:r>
        <w:t>02_PROJECT_CHRONOLOGY_AND_FINDINGS.md: what was done and what it established.</w:t>
      </w:r>
    </w:p>
    <w:p>
      <w:pPr>
        <w:pStyle w:val="ListBullet"/>
      </w:pPr>
      <w:r>
        <w:t>03_VERIFIED_RESULTS_VS_INVALIDATED_CLAIMS.md: exact audit status of every headline number.</w:t>
      </w:r>
    </w:p>
    <w:p>
      <w:pPr>
        <w:pStyle w:val="ListBullet"/>
      </w:pPr>
      <w:r>
        <w:t>04_CURRENT_ROADBLOCKS_AND_REQUIRED_DECISIONS.md: what Darren needs to specify and what inputs are missing.</w:t>
      </w:r>
    </w:p>
    <w:p>
      <w:pPr>
        <w:pStyle w:val="ListBullet"/>
      </w:pPr>
      <w:r>
        <w:t>code/: all project scripts, including extraction, scoring, statistics and package builder.</w:t>
      </w:r>
    </w:p>
    <w:p>
      <w:pPr>
        <w:pStyle w:val="ListBullet"/>
      </w:pPr>
      <w:r>
        <w:t>key_outputs/: reports/tables needed to reproduce the key conclusions.</w:t>
      </w:r>
    </w:p>
    <w:p>
      <w:pPr>
        <w:pStyle w:val="ListBullet"/>
      </w:pPr>
      <w:r>
        <w:t>data_inventory.csv: raw-data locations and sizes, intentionally excluded from email package.</w:t>
      </w:r>
    </w:p>
    <w:p>
      <w:pPr>
        <w:pStyle w:val="Heading1"/>
      </w:pPr>
      <w:r>
        <w:t>Interpretation guardrails</w:t>
      </w:r>
    </w:p>
    <w:p>
      <w:r>
        <w:t>Do not quote the historical 7.76 sigma, 5.75 sigma, 10.8 sigma or 36.9 sigma values as valid evidence. Their detailed audits are included. Any future anomalous result must use fixed theory-derived definitions, disjoint data, a complete signed-weight background model and closed controls.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