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N-Frame / CERN Boundary-Trace Handoff</w:t>
      </w:r>
    </w:p>
    <w:p>
      <w:pPr>
        <w:jc w:val="center"/>
      </w:pPr>
      <w:r>
        <w:rPr>
          <w:b/>
          <w:sz w:val="22"/>
        </w:rPr>
        <w:t>Audit of Gemini work, CMS normalisation claims, and independent-format checks</w:t>
      </w:r>
    </w:p>
    <w:p>
      <w:pPr>
        <w:jc w:val="center"/>
      </w:pPr>
      <w:r>
        <w:t>Report date: 23 June 2026</w:t>
      </w:r>
    </w:p>
    <w:p>
      <w:pPr>
        <w:pStyle w:val="Heading1"/>
      </w:pPr>
      <w:r>
        <w:t>Purpose of this report</w:t>
      </w:r>
    </w:p>
    <w:p>
      <w:r>
        <w:t>This handoff records what was actually completed today, separates verified outputs from unsupported claims, and gives the shortest defensible route to a publication-grade test. A high numerical Z is not meaningful unless the SM prediction, selections, nuisance model and control transfer are validated.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Useful technical work is present: exact GenFilterInfo sumweights for W3Jets and two TT-associated records; an exact/metadata-hybrid ledger; an enhanced Run2012C AOD mapper; an independent Run2016H NanoAOD extraction; and a consolidated evidence package.</w:t>
      </w:r>
    </w:p>
    <w:p>
      <w:pPr>
        <w:pStyle w:val="ListBullet"/>
      </w:pPr>
      <w:r>
        <w:t>The reported CMS 7.76 sigma result is not publication-grade discovery evidence. It uses self-ranked MC percentile bands and a real-data sideband anchor, so it is a relative shape comparison rather than an absolute luminosity-weighted SM yield prediction in a fixed region.</w:t>
      </w:r>
    </w:p>
    <w:p>
      <w:pPr>
        <w:pStyle w:val="ListBullet"/>
      </w:pPr>
      <w:r>
        <w:t>The strict exact-only model contains W3Jets and two TT-associated samples, but not normalised Z-to-neutrinos, inclusive ttbar/top, QCD or diboson backgrounds. It is not a complete MET background.</w:t>
      </w:r>
    </w:p>
    <w:p>
      <w:pPr>
        <w:pStyle w:val="ListBullet"/>
      </w:pPr>
      <w:r>
        <w:t>Earlier corrected fixed-reference and control-transfer tests in the workspace fail control closure. That blocks an unexplained-residual interpretation of the high CMS Z values.</w:t>
      </w:r>
    </w:p>
    <w:p>
      <w:pPr>
        <w:pStyle w:val="ListBullet"/>
      </w:pPr>
      <w:r>
        <w:t>Run2012C is technically improved but weak (shape Z = 0.78). NanoAOD is extracted but has not yet been scored or tested. The ATLAS 10.80 sigma scan is post-selection, has a failed sideband and incomplete backgrounds; it is exploratory, not confirmation.</w:t>
      </w:r>
    </w:p>
    <w:p>
      <w:pPr>
        <w:pStyle w:val="Heading1"/>
      </w:pPr>
      <w:r>
        <w:t>Mathematical and statistical audit</w:t>
      </w:r>
    </w:p>
    <w:p>
      <w:r>
        <w:t>Frozen score: B_OPQ = 0.344828 O + 0.517241 P - 0.137931 Q.</w:t>
      </w:r>
    </w:p>
    <w:p>
      <w:r>
        <w:t>The claimed exact-hybrid script derives MC microband edges from weighted MC quantiles and maps those relative bands onto real data after anchoring the 90-95% data count. This cannot establish an absolute SM expectation. It also drops non-positive luminosity weights, which is invalid for negative-weight NLO samples.</w:t>
      </w:r>
    </w:p>
    <w:p>
      <w:r>
        <w:t>The target publication model is an absolute signed-weight prediction per process and region, using fixed numerical boundaries, certified luminosity, full generator-weight denominators and correlated nuisance parameters.</w:t>
      </w:r>
    </w:p>
    <w:p>
      <w:pPr>
        <w:pStyle w:val="Heading1"/>
      </w:pPr>
      <w:r>
        <w:t>Verified Work Completed Today</w:t>
      </w:r>
    </w:p>
    <w:p>
      <w:pPr>
        <w:pStyle w:val="Heading2"/>
      </w:pPr>
      <w:r>
        <w:t>Stage 1 - Exact normalisation inputs and package audit</w:t>
      </w:r>
    </w:p>
    <w:p>
      <w:r>
        <w:t>Exact full-record GenFilterInfo totals were verified for W3Jets record 69548 and TT-associated records 68072 and 68082. These are useful final normalisations for those individual records, but do not constitute a complete SM model. The evidence package README references 1_exact_sm_normalisation, but that directory is missing from the package; the authoritative inputs remain in outputs_remote_opq_sm_background_build.</w:t>
      </w:r>
    </w:p>
    <w:p>
      <w:pPr>
        <w:pStyle w:val="Heading2"/>
      </w:pPr>
      <w:r>
        <w:t>Stage 2 - Enhanced Run2012C AOD mapping</w:t>
      </w:r>
    </w:p>
    <w:p>
      <w:r>
        <w:t>The mapper added b-tag fallbacks and V0/secondary-vertex-like counts. It produced 60,000 usable rows, with a 14.245% nonzero medium-b-tag fraction and a 92.142% nonzero secondary-vertex proxy fraction. The frozen-score cross-era test remained weak: shape Z = 0.7819 and shoulder Z = 0.7269. It is a feature-compatibility stress test, not replication.</w:t>
      </w:r>
    </w:p>
    <w:p>
      <w:pPr>
        <w:pStyle w:val="Heading2"/>
      </w:pPr>
      <w:r>
        <w:t>Stage 3 - Independent Run2016H NanoAOD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File size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t>JetHT</w:t>
            </w:r>
          </w:p>
        </w:tc>
        <w:tc>
          <w:tcPr>
            <w:tcW w:type="dxa" w:w="2484"/>
          </w:tcPr>
          <w:p>
            <w:r>
              <w:t>30558</w:t>
            </w:r>
          </w:p>
        </w:tc>
        <w:tc>
          <w:tcPr>
            <w:tcW w:type="dxa" w:w="2484"/>
          </w:tcPr>
          <w:p>
            <w:r>
              <w:t>407.9 MB</w:t>
            </w:r>
          </w:p>
        </w:tc>
        <w:tc>
          <w:tcPr>
            <w:tcW w:type="dxa" w:w="2484"/>
          </w:tcPr>
          <w:p>
            <w:r>
              <w:t>Extracted</w:t>
            </w:r>
          </w:p>
        </w:tc>
      </w:tr>
      <w:tr>
        <w:tc>
          <w:tcPr>
            <w:tcW w:type="dxa" w:w="2484"/>
          </w:tcPr>
          <w:p>
            <w:r>
              <w:t>MET</w:t>
            </w:r>
          </w:p>
        </w:tc>
        <w:tc>
          <w:tcPr>
            <w:tcW w:type="dxa" w:w="2484"/>
          </w:tcPr>
          <w:p>
            <w:r>
              <w:t>30559</w:t>
            </w:r>
          </w:p>
        </w:tc>
        <w:tc>
          <w:tcPr>
            <w:tcW w:type="dxa" w:w="2484"/>
          </w:tcPr>
          <w:p>
            <w:r>
              <w:t>94.4 MB</w:t>
            </w:r>
          </w:p>
        </w:tc>
        <w:tc>
          <w:tcPr>
            <w:tcW w:type="dxa" w:w="2484"/>
          </w:tcPr>
          <w:p>
            <w:r>
              <w:t>Extracted</w:t>
            </w:r>
          </w:p>
        </w:tc>
      </w:tr>
      <w:tr>
        <w:tc>
          <w:tcPr>
            <w:tcW w:type="dxa" w:w="2484"/>
          </w:tcPr>
          <w:p>
            <w:r>
              <w:t>SingleMuon</w:t>
            </w:r>
          </w:p>
        </w:tc>
        <w:tc>
          <w:tcPr>
            <w:tcW w:type="dxa" w:w="2484"/>
          </w:tcPr>
          <w:p>
            <w:r>
              <w:t>30563</w:t>
            </w:r>
          </w:p>
        </w:tc>
        <w:tc>
          <w:tcPr>
            <w:tcW w:type="dxa" w:w="2484"/>
          </w:tcPr>
          <w:p>
            <w:r>
              <w:t>14.7 MB</w:t>
            </w:r>
          </w:p>
        </w:tc>
        <w:tc>
          <w:tcPr>
            <w:tcW w:type="dxa" w:w="2484"/>
          </w:tcPr>
          <w:p>
            <w:r>
              <w:t>Extracted</w:t>
            </w:r>
          </w:p>
        </w:tc>
      </w:tr>
    </w:tbl>
    <w:p>
      <w:r>
        <w:t>This is a new real-collision input set. NanoAOD lacks packed-candidate and equivalent MiniAOD secondary-vertex inputs, and no reduced-score statistical validation was run. It must not be described as a validation result yet.</w:t>
      </w:r>
    </w:p>
    <w:p>
      <w:pPr>
        <w:pStyle w:val="Heading2"/>
      </w:pPr>
      <w:r>
        <w:t>Stage 4 - ATLAS public one-lepton exploratory work</w:t>
      </w:r>
    </w:p>
    <w:p>
      <w:r>
        <w:t>The direct CMS analogue underfluctuated (Z = -0.75). A later scan inspected four variants on the same ATLAS data and selected jetcount_only_resid, reporting 22 Q99 events against 1.84 after a same-data sideband correction (Z = 10.80). This is not an independent confirmation: the selected 1-2-jet sideband has observed/expected = 0.1549 in 80-95%, the MC model includes only five W/single-top samples, and the code replaces signed weights with absolute weights.</w:t>
      </w:r>
    </w:p>
    <w:p>
      <w:pPr>
        <w:pStyle w:val="Heading1"/>
      </w:pPr>
      <w:r>
        <w:t>Critical comparison with corrected CMS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Readout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Audit conclusion</w:t>
            </w:r>
          </w:p>
        </w:tc>
      </w:tr>
      <w:tr>
        <w:tc>
          <w:tcPr>
            <w:tcW w:type="dxa" w:w="3312"/>
          </w:tcPr>
          <w:p>
            <w:r>
              <w:t>Historical rank-tail exact-hybrid</w:t>
            </w:r>
          </w:p>
        </w:tc>
        <w:tc>
          <w:tcPr>
            <w:tcW w:type="dxa" w:w="3312"/>
          </w:tcPr>
          <w:p>
            <w:r>
              <w:t>MET Fisher Z = 7.76; controls Z = -0.25</w:t>
            </w:r>
          </w:p>
        </w:tc>
        <w:tc>
          <w:tcPr>
            <w:tcW w:type="dxa" w:w="3312"/>
          </w:tcPr>
          <w:p>
            <w:r>
              <w:t>Not a discovery likelihood; the rank construction and sideband anchor make closure non-diagnostic.</w:t>
            </w:r>
          </w:p>
        </w:tc>
      </w:tr>
      <w:tr>
        <w:tc>
          <w:tcPr>
            <w:tcW w:type="dxa" w:w="3312"/>
          </w:tcPr>
          <w:p>
            <w:r>
              <w:t>Fixed reference, exact only</w:t>
            </w:r>
          </w:p>
        </w:tc>
        <w:tc>
          <w:tcPr>
            <w:tcW w:type="dxa" w:w="3312"/>
          </w:tcPr>
          <w:p>
            <w:r>
              <w:t>MET Fisher Z = 17.12; max control Z = 2.29</w:t>
            </w:r>
          </w:p>
        </w:tc>
        <w:tc>
          <w:tcPr>
            <w:tcW w:type="dxa" w:w="3312"/>
          </w:tcPr>
          <w:p>
            <w:r>
              <w:t>Fails the stated Z &lt;= 2 control criterion.</w:t>
            </w:r>
          </w:p>
        </w:tc>
      </w:tr>
      <w:tr>
        <w:tc>
          <w:tcPr>
            <w:tcW w:type="dxa" w:w="3312"/>
          </w:tcPr>
          <w:p>
            <w:r>
              <w:t>Fixed reference, expanded metadata</w:t>
            </w:r>
          </w:p>
        </w:tc>
        <w:tc>
          <w:tcPr>
            <w:tcW w:type="dxa" w:w="3312"/>
          </w:tcPr>
          <w:p>
            <w:r>
              <w:t>MET Fisher Z = 25.00; max control Z = 7.41</w:t>
            </w:r>
          </w:p>
        </w:tc>
        <w:tc>
          <w:tcPr>
            <w:tcW w:type="dxa" w:w="3312"/>
          </w:tcPr>
          <w:p>
            <w:r>
              <w:t>Strong control failure.</w:t>
            </w:r>
          </w:p>
        </w:tc>
      </w:tr>
      <w:tr>
        <w:tc>
          <w:tcPr>
            <w:tcW w:type="dxa" w:w="3312"/>
          </w:tcPr>
          <w:p>
            <w:r>
              <w:t>Control-mixture transfer</w:t>
            </w:r>
          </w:p>
        </w:tc>
        <w:tc>
          <w:tcPr>
            <w:tcW w:type="dxa" w:w="3312"/>
          </w:tcPr>
          <w:p>
            <w:r>
              <w:t>Control Z = 38.47, 19.69, 31.04</w:t>
            </w:r>
          </w:p>
        </w:tc>
        <w:tc>
          <w:tcPr>
            <w:tcW w:type="dxa" w:w="3312"/>
          </w:tcPr>
          <w:p>
            <w:r>
              <w:t>Model does not predict controls.</w:t>
            </w:r>
          </w:p>
        </w:tc>
      </w:tr>
      <w:tr>
        <w:tc>
          <w:tcPr>
            <w:tcW w:type="dxa" w:w="3312"/>
          </w:tcPr>
          <w:p>
            <w:r>
              <w:t>Stream-matched plateau transfer</w:t>
            </w:r>
          </w:p>
        </w:tc>
        <w:tc>
          <w:tcPr>
            <w:tcW w:type="dxa" w:w="3312"/>
          </w:tcPr>
          <w:p>
            <w:r>
              <w:t>Control Z = 14.62, 38.47, 31.27</w:t>
            </w:r>
          </w:p>
        </w:tc>
        <w:tc>
          <w:tcPr>
            <w:tcW w:type="dxa" w:w="3312"/>
          </w:tcPr>
          <w:p>
            <w:r>
              <w:t>Still does not close controls.</w:t>
            </w:r>
          </w:p>
        </w:tc>
      </w:tr>
    </w:tbl>
    <w:p>
      <w:pPr>
        <w:pStyle w:val="Heading1"/>
      </w:pPr>
      <w:r>
        <w:t>Breakthrough-Readiness Status</w:t>
      </w:r>
    </w:p>
    <w:p>
      <w:r>
        <w:t>There is not currently a publishable breakthrough or discovery claim. The defensible conclusion is that OPQ-style scores show exploratory high-tail structure in several CMS Open Data streams, while the present SM process-composition, trigger and reconstruction transfer model is not validated. This identifies the next technical obstacle; it does not demonstrate hidden-sector or SUSY-like physics.</w:t>
      </w:r>
    </w:p>
    <w:p>
      <w:pPr>
        <w:pStyle w:val="Heading1"/>
      </w:pPr>
      <w:r>
        <w:t>How Darren Can Continue</w:t>
      </w:r>
    </w:p>
    <w:p>
      <w:pPr>
        <w:pStyle w:val="ListNumber"/>
      </w:pPr>
      <w:r>
        <w:t>Freeze the processing protocol: certified luminosity/JSON, quality filters, objects, trigger plateaus, numerical score thresholds and blind region definition.</w:t>
      </w:r>
    </w:p>
    <w:p>
      <w:pPr>
        <w:pStyle w:val="ListNumber"/>
      </w:pPr>
      <w:r>
        <w:t>Complete a signed-weight UL2016 MC ledger for Z-to-neutrinos, W+jets, ttbar, single top, diboson, QCD and rare processes, using full sumGenWeights, documented cross sections and filter efficiencies.</w:t>
      </w:r>
    </w:p>
    <w:p>
      <w:pPr>
        <w:pStyle w:val="ListNumber"/>
      </w:pPr>
      <w:r>
        <w:t>Use exactly matched data/MC selections and independently derived trigger efficiencies. Retain negative MC weights.</w:t>
      </w:r>
    </w:p>
    <w:p>
      <w:pPr>
        <w:pStyle w:val="ListNumber"/>
      </w:pPr>
      <w:r>
        <w:t>Build a simultaneous HistFactory/pyhf likelihood containing MET signal, JetHT/SingleMuon controls and predeclared validation microbands with correlated luminosity, generator, trigger, jet/MET, process-mixture and finite-MC nuisance parameters.</w:t>
      </w:r>
    </w:p>
    <w:p>
      <w:pPr>
        <w:pStyle w:val="ListNumber"/>
      </w:pPr>
      <w:r>
        <w:t>Require all blinded control and validation bins to close in a held-out era before quoting an anomaly Z for the MET region.</w:t>
      </w:r>
    </w:p>
    <w:p>
      <w:pPr>
        <w:pStyle w:val="ListNumber"/>
      </w:pPr>
      <w:r>
        <w:t>Treat the new NanoAOD and Run2012C paths as separate reduced-feature studies with a development/holdout split. Do not Fisher-combine unlike formats.</w:t>
      </w:r>
    </w:p>
    <w:p>
      <w:pPr>
        <w:pStyle w:val="ListNumber"/>
      </w:pPr>
      <w:r>
        <w:t>Redo ATLAS only with complete public backgrounds, signed weights, an analysis-note-matched selection and an independent holdout. The current scan is retained only as exploratory evidence-generation.</w:t>
      </w:r>
    </w:p>
    <w:p>
      <w:pPr>
        <w:pStyle w:val="Heading1"/>
      </w:pPr>
      <w:r>
        <w:t>One-paragraph version Darren can quote</w:t>
      </w:r>
    </w:p>
    <w:p>
      <w:r>
        <w:t>Today produced useful infrastructure: exact weights for a subset of MC, an improved 2012 AOD mapper, and a new Run2016H NanoAOD extraction. An audit found that the newly reported 7.76 sigma CMS and 10.80 sigma ATLAS figures are not publication-grade because their background models and control transfers are not yet valid: the CMS rank-tail likelihood is sideband-anchored with incomplete SM coverage, while the selected ATLAS variant has an unclosed sideband and incomplete backgrounds. The correct next stage is a fixed-region, signed-weight, complete-process likelihood whose held-out control regions close before any anomaly significance is interpreted.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