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Password policies</w:t>
            </w:r>
            <w:r w:rsidDel="00000000" w:rsidR="00000000" w:rsidRPr="00000000">
              <w:rPr>
                <w:rFonts w:ascii="Google Sans" w:cs="Google Sans" w:eastAsia="Google Sans" w:hAnsi="Google Sans"/>
                <w:sz w:val="24"/>
                <w:szCs w:val="24"/>
                <w:rtl w:val="0"/>
              </w:rPr>
              <w:t xml:space="preserve"> → addresses employees sharing passwords and the default database admin password.</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Firewall maintenance</w:t>
            </w:r>
            <w:r w:rsidDel="00000000" w:rsidR="00000000" w:rsidRPr="00000000">
              <w:rPr>
                <w:rFonts w:ascii="Google Sans" w:cs="Google Sans" w:eastAsia="Google Sans" w:hAnsi="Google Sans"/>
                <w:sz w:val="24"/>
                <w:szCs w:val="24"/>
                <w:rtl w:val="0"/>
              </w:rPr>
              <w:t xml:space="preserve"> → directly addresses the firewall having no rules filtering inbound/outbound traffic.</w:t>
            </w:r>
          </w:p>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Multifactor authentication (MFA)</w:t>
            </w:r>
            <w:r w:rsidDel="00000000" w:rsidR="00000000" w:rsidRPr="00000000">
              <w:rPr>
                <w:rFonts w:ascii="Google Sans" w:cs="Google Sans" w:eastAsia="Google Sans" w:hAnsi="Google Sans"/>
                <w:sz w:val="24"/>
                <w:szCs w:val="24"/>
                <w:rtl w:val="0"/>
              </w:rPr>
              <w:t xml:space="preserve"> → directly addresses the fact that authentication currently depends on passwords alone.</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B">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4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chose firewall maintenance because the organization currently has no firewall rules filtering inbound and outbound network traffic. Regularly maintaining and updating firewall rules can block unauthorized or suspicious traffic and reduce unnecessary access to the network. Firewall rules should be reviewed and maintained regularly to ensure they continue to block unnecessary or unauthorized network traffic. </w:t>
            </w:r>
          </w:p>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chose password policies because employees are sharing passwords and the database administrator account is still using a default password. A password policy can establish requirements for secure password practices and prevent default or easily guessed credentials from remaining in use. The password policy should be continuously enforced and periodically reviewed to ensure employees and administrators follow secure password practices. </w:t>
            </w:r>
          </w:p>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chose MFA because it adds another layer of authentication. Even if an attacker guesses or obtains an employee's password, they would still need another authentication factor before gaining access to the account. MFA can be configured initially for user accounts and then maintained to ensure authentication methods remain active and secure. </w:t>
            </w:r>
            <w:r w:rsidDel="00000000" w:rsidR="00000000" w:rsidRPr="00000000">
              <w:rPr>
                <w:rtl w:val="0"/>
              </w:rPr>
            </w:r>
          </w:p>
        </w:tc>
      </w:tr>
    </w:tbl>
    <w:p w:rsidR="00000000" w:rsidDel="00000000" w:rsidP="00000000" w:rsidRDefault="00000000" w:rsidRPr="00000000" w14:paraId="00000012">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3">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