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company's internal network was disrupted for approximately two hours due to a Denial-of-Service (DoS) attack caused by a large flood of incoming ICMP packets. The cybersecurity team determined that an unconfigured firewall allowed the malicious ICMP traffic to enter the network and overwhelm its resources. The incident management team responded by blocking incoming ICMP packets, taking all non-critical network services offline, and restoring critical network services. Following the incident, the security team implemented a new firewall rule to limit the rate of incoming ICMP packets, source IP address verification to detect spoofed addresses, network monitoring software to identify abnormal traffic patterns, and an IDS/IPS system to detect and filter suspicious ICMP traffic.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identified that an unconfigured firewall allowed a large number of malicious ICMP packets to enter the company's internal network. The ICMP flood overwhelmed the network and caused internal network services and resources to become unavailable for approximately two hours.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network security team implemented a firewall rule to limit the rate of incoming ICMP packets. Source IP address verification was also configured to help identify spoofed IP addresses. These protections help control malicious traffic before it can overwhelm the internal network. </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implemented network monitoring software to continuously monitor network traffic and detect abnormal traffic patterns. An IDS/IPS system was also implemented to identify suspicious ICMP traffic and help detect potential attacks before they can significantly disrupt network services.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responded by blocking incoming ICMP packets and taking all non-critical network services offline to contain the attack. The team should continue analyzing network logs and traffic data during future incidents to identify the source and characteristics of an attack and determine what additional security measures are needed.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should restore critical network services first and verify that they are operating normally and securely. Once the network is stable and the threat has been contained, non-critical services can be brought back online. The team should communicate the restoration status to affected employees and continue monitoring the network for additional suspicious activity. </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This incident demonstrated how an improperly configured firewall can create a network availability risk and how the NIST CSF provides a structured approach for identifying vulnerabilities, implementing protections, detecting abnormal activity, responding to an incident, and restoring normal operations. </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