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1134"/>
        <w:gridCol w:w="2977"/>
        <w:gridCol w:w="2125"/>
      </w:tblGrid>
      <w:tr w:rsidR="0009324B" w:rsidTr="00606756">
        <w:tc>
          <w:tcPr>
            <w:tcW w:w="2122" w:type="dxa"/>
          </w:tcPr>
          <w:p w:rsidR="0009324B" w:rsidRDefault="0009324B" w:rsidP="0009324B">
            <w:r>
              <w:t>Header Field Name</w:t>
            </w:r>
          </w:p>
        </w:tc>
        <w:tc>
          <w:tcPr>
            <w:tcW w:w="992" w:type="dxa"/>
          </w:tcPr>
          <w:p w:rsidR="0009324B" w:rsidRDefault="00606756" w:rsidP="0009324B">
            <w:r>
              <w:t>Protocol</w:t>
            </w:r>
          </w:p>
        </w:tc>
        <w:tc>
          <w:tcPr>
            <w:tcW w:w="1134" w:type="dxa"/>
          </w:tcPr>
          <w:p w:rsidR="0009324B" w:rsidRDefault="00606756" w:rsidP="0009324B">
            <w:r>
              <w:t>Status</w:t>
            </w:r>
          </w:p>
        </w:tc>
        <w:tc>
          <w:tcPr>
            <w:tcW w:w="2977" w:type="dxa"/>
          </w:tcPr>
          <w:p w:rsidR="0009324B" w:rsidRDefault="00606756" w:rsidP="0009324B">
            <w:r>
              <w:t>Description</w:t>
            </w:r>
          </w:p>
        </w:tc>
        <w:tc>
          <w:tcPr>
            <w:tcW w:w="2125" w:type="dxa"/>
          </w:tcPr>
          <w:p w:rsidR="0009324B" w:rsidRDefault="00606756" w:rsidP="0009324B">
            <w:r>
              <w:t>Reference</w:t>
            </w:r>
          </w:p>
        </w:tc>
      </w:tr>
      <w:tr w:rsidR="0009324B" w:rsidTr="00606756">
        <w:tc>
          <w:tcPr>
            <w:tcW w:w="2122" w:type="dxa"/>
          </w:tcPr>
          <w:p w:rsidR="0009324B" w:rsidRDefault="00606756" w:rsidP="0009324B">
            <w:r>
              <w:t>Accept</w:t>
            </w:r>
          </w:p>
        </w:tc>
        <w:tc>
          <w:tcPr>
            <w:tcW w:w="992" w:type="dxa"/>
          </w:tcPr>
          <w:p w:rsidR="0009324B" w:rsidRDefault="00606756" w:rsidP="0009324B">
            <w:r>
              <w:t>http</w:t>
            </w:r>
          </w:p>
        </w:tc>
        <w:tc>
          <w:tcPr>
            <w:tcW w:w="1134" w:type="dxa"/>
          </w:tcPr>
          <w:p w:rsidR="0009324B" w:rsidRDefault="00606756" w:rsidP="0009324B">
            <w:r>
              <w:t>Standard</w:t>
            </w:r>
          </w:p>
        </w:tc>
        <w:tc>
          <w:tcPr>
            <w:tcW w:w="2977" w:type="dxa"/>
          </w:tcPr>
          <w:p w:rsidR="006A7418" w:rsidRPr="006A7418" w:rsidRDefault="006A7418" w:rsidP="006A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</w:pPr>
            <w:r w:rsidRPr="006A7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>The "Accept" header field can be used by user agents to specify</w:t>
            </w:r>
          </w:p>
          <w:p w:rsidR="006A7418" w:rsidRPr="006A7418" w:rsidRDefault="006A7418" w:rsidP="006A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</w:pPr>
            <w:r w:rsidRPr="006A7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>response media types that are acceptable.  Accept header fields can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6A7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>be used to indicate that the request is specifically limited to 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6A7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>small set of desired types, as in the case of a request for an</w:t>
            </w:r>
          </w:p>
          <w:p w:rsidR="006A7418" w:rsidRPr="006A7418" w:rsidRDefault="006A7418" w:rsidP="006A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</w:pPr>
            <w:r w:rsidRPr="006A7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PH"/>
              </w:rPr>
              <w:t>in-line image.</w:t>
            </w:r>
          </w:p>
          <w:p w:rsidR="0009324B" w:rsidRDefault="0009324B" w:rsidP="0009324B"/>
        </w:tc>
        <w:tc>
          <w:tcPr>
            <w:tcW w:w="2125" w:type="dxa"/>
          </w:tcPr>
          <w:p w:rsidR="0009324B" w:rsidRDefault="00606756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4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RFC7231, Section 5.3.2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09324B" w:rsidTr="00606756">
        <w:tc>
          <w:tcPr>
            <w:tcW w:w="2122" w:type="dxa"/>
          </w:tcPr>
          <w:p w:rsidR="0009324B" w:rsidRDefault="00606756" w:rsidP="0009324B">
            <w:r>
              <w:t>Accept Encoding</w:t>
            </w:r>
          </w:p>
        </w:tc>
        <w:tc>
          <w:tcPr>
            <w:tcW w:w="992" w:type="dxa"/>
          </w:tcPr>
          <w:p w:rsidR="0009324B" w:rsidRDefault="00606756" w:rsidP="0009324B">
            <w:r>
              <w:t>http</w:t>
            </w:r>
          </w:p>
        </w:tc>
        <w:tc>
          <w:tcPr>
            <w:tcW w:w="1134" w:type="dxa"/>
          </w:tcPr>
          <w:p w:rsidR="0009324B" w:rsidRDefault="00606756" w:rsidP="0009324B">
            <w:r>
              <w:t>Standard</w:t>
            </w:r>
          </w:p>
        </w:tc>
        <w:tc>
          <w:tcPr>
            <w:tcW w:w="2977" w:type="dxa"/>
          </w:tcPr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"Accept-Encoding" header field can be used by user agents to</w:t>
            </w:r>
          </w:p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indicate wh</w:t>
            </w:r>
            <w:r>
              <w:rPr>
                <w:color w:val="000000"/>
              </w:rPr>
              <w:t>at response content-</w:t>
            </w:r>
            <w:proofErr w:type="spellStart"/>
            <w:r>
              <w:rPr>
                <w:color w:val="000000"/>
              </w:rPr>
              <w:t>codings</w:t>
            </w:r>
            <w:proofErr w:type="spellEnd"/>
            <w:r>
              <w:rPr>
                <w:color w:val="000000"/>
              </w:rPr>
              <w:t>(</w:t>
            </w:r>
            <w:hyperlink r:id="rId5" w:anchor="section-3.1.2.1" w:history="1">
              <w:r>
                <w:rPr>
                  <w:rStyle w:val="Hyperlink"/>
                </w:rPr>
                <w:t>Section 3.1.2.1</w:t>
              </w:r>
            </w:hyperlink>
            <w:r>
              <w:rPr>
                <w:color w:val="000000"/>
              </w:rPr>
              <w:t xml:space="preserve">) are acceptable in the response. </w:t>
            </w:r>
            <w:r>
              <w:rPr>
                <w:color w:val="000000"/>
              </w:rPr>
              <w:t>An "identity" token is used as a synonym</w:t>
            </w:r>
          </w:p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for "no encoding" in order to communicate when no encoding is</w:t>
            </w:r>
          </w:p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preferred.</w:t>
            </w:r>
          </w:p>
          <w:p w:rsidR="0009324B" w:rsidRDefault="0009324B" w:rsidP="0009324B"/>
        </w:tc>
        <w:tc>
          <w:tcPr>
            <w:tcW w:w="2125" w:type="dxa"/>
          </w:tcPr>
          <w:p w:rsidR="00606756" w:rsidRDefault="00606756" w:rsidP="0009324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6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RFC7231, Section 5.3.4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  <w:p w:rsidR="0009324B" w:rsidRDefault="00606756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RFC7694, Section 3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09324B" w:rsidTr="006A7418">
        <w:trPr>
          <w:trHeight w:val="213"/>
        </w:trPr>
        <w:tc>
          <w:tcPr>
            <w:tcW w:w="2122" w:type="dxa"/>
          </w:tcPr>
          <w:p w:rsidR="0009324B" w:rsidRDefault="00606756" w:rsidP="0009324B">
            <w:r>
              <w:t>Accept Charset</w:t>
            </w:r>
          </w:p>
        </w:tc>
        <w:tc>
          <w:tcPr>
            <w:tcW w:w="992" w:type="dxa"/>
          </w:tcPr>
          <w:p w:rsidR="0009324B" w:rsidRDefault="00606756" w:rsidP="0009324B">
            <w:r>
              <w:t>http</w:t>
            </w:r>
          </w:p>
        </w:tc>
        <w:tc>
          <w:tcPr>
            <w:tcW w:w="1134" w:type="dxa"/>
          </w:tcPr>
          <w:p w:rsidR="0009324B" w:rsidRDefault="00606756" w:rsidP="0009324B">
            <w:r>
              <w:t>Standard</w:t>
            </w:r>
          </w:p>
        </w:tc>
        <w:tc>
          <w:tcPr>
            <w:tcW w:w="2977" w:type="dxa"/>
          </w:tcPr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"Accept-Charset" header field can be sent by a user agent to</w:t>
            </w:r>
          </w:p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indicate what charsets are acceptab</w:t>
            </w:r>
            <w:r>
              <w:rPr>
                <w:color w:val="000000"/>
              </w:rPr>
              <w:t xml:space="preserve">le in textual response </w:t>
            </w:r>
            <w:proofErr w:type="spellStart"/>
            <w:r>
              <w:rPr>
                <w:color w:val="000000"/>
              </w:rPr>
              <w:t>content.</w:t>
            </w:r>
            <w:r>
              <w:rPr>
                <w:color w:val="000000"/>
              </w:rPr>
              <w:t>This</w:t>
            </w:r>
            <w:proofErr w:type="spellEnd"/>
            <w:r>
              <w:rPr>
                <w:color w:val="000000"/>
              </w:rPr>
              <w:t xml:space="preserve"> fiel</w:t>
            </w:r>
            <w:r>
              <w:rPr>
                <w:color w:val="000000"/>
              </w:rPr>
              <w:t xml:space="preserve">d allows user agents capable of </w:t>
            </w:r>
            <w:r>
              <w:rPr>
                <w:color w:val="000000"/>
              </w:rPr>
              <w:t>understanding more</w:t>
            </w:r>
          </w:p>
          <w:p w:rsidR="006A7418" w:rsidRDefault="006A7418" w:rsidP="006A74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comprehensive or special-purpose cha</w:t>
            </w:r>
            <w:r>
              <w:rPr>
                <w:color w:val="000000"/>
              </w:rPr>
              <w:t xml:space="preserve">rsets to signal that capability </w:t>
            </w:r>
            <w:r>
              <w:rPr>
                <w:color w:val="000000"/>
              </w:rPr>
              <w:t>to an origin server that is capable</w:t>
            </w:r>
            <w:r>
              <w:rPr>
                <w:color w:val="000000"/>
              </w:rPr>
              <w:t xml:space="preserve"> of representing information in </w:t>
            </w:r>
            <w:r>
              <w:rPr>
                <w:color w:val="000000"/>
              </w:rPr>
              <w:t>those charsets.</w:t>
            </w:r>
          </w:p>
          <w:p w:rsidR="0009324B" w:rsidRDefault="0009324B" w:rsidP="0009324B"/>
        </w:tc>
        <w:tc>
          <w:tcPr>
            <w:tcW w:w="2125" w:type="dxa"/>
          </w:tcPr>
          <w:p w:rsidR="0009324B" w:rsidRDefault="00356936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8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RFC7231, Section 5.3.3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09324B" w:rsidTr="00606756">
        <w:tc>
          <w:tcPr>
            <w:tcW w:w="2122" w:type="dxa"/>
          </w:tcPr>
          <w:p w:rsidR="0009324B" w:rsidRDefault="00606756" w:rsidP="0009324B">
            <w:r>
              <w:t>Accept Language</w:t>
            </w:r>
          </w:p>
        </w:tc>
        <w:tc>
          <w:tcPr>
            <w:tcW w:w="992" w:type="dxa"/>
          </w:tcPr>
          <w:p w:rsidR="0009324B" w:rsidRDefault="00356936" w:rsidP="0009324B">
            <w:r>
              <w:t>http</w:t>
            </w:r>
          </w:p>
        </w:tc>
        <w:tc>
          <w:tcPr>
            <w:tcW w:w="1134" w:type="dxa"/>
          </w:tcPr>
          <w:p w:rsidR="0009324B" w:rsidRDefault="00356936" w:rsidP="0009324B">
            <w:r>
              <w:t>Standard</w:t>
            </w:r>
          </w:p>
        </w:tc>
        <w:tc>
          <w:tcPr>
            <w:tcW w:w="2977" w:type="dxa"/>
          </w:tcPr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"Accept-Language" header field can be used by user agents to</w:t>
            </w:r>
          </w:p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indicate the set of natural languages that are preferred in the</w:t>
            </w:r>
          </w:p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response.  Language tags are defined in </w:t>
            </w:r>
            <w:hyperlink r:id="rId9" w:anchor="section-3.1.3.1" w:history="1">
              <w:r>
                <w:rPr>
                  <w:rStyle w:val="Hyperlink"/>
                </w:rPr>
                <w:t>Section 3.1.3.1</w:t>
              </w:r>
            </w:hyperlink>
            <w:r>
              <w:rPr>
                <w:color w:val="000000"/>
              </w:rPr>
              <w:t>.</w:t>
            </w:r>
          </w:p>
          <w:p w:rsidR="0009324B" w:rsidRDefault="0009324B" w:rsidP="0009324B"/>
        </w:tc>
        <w:tc>
          <w:tcPr>
            <w:tcW w:w="2125" w:type="dxa"/>
          </w:tcPr>
          <w:p w:rsidR="0009324B" w:rsidRDefault="00356936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lastRenderedPageBreak/>
              <w:t>[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RFC7231, Section 5.3.5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09324B" w:rsidTr="00606756">
        <w:tc>
          <w:tcPr>
            <w:tcW w:w="2122" w:type="dxa"/>
          </w:tcPr>
          <w:p w:rsidR="0009324B" w:rsidRDefault="00606756" w:rsidP="0009324B">
            <w:r>
              <w:t>Authorization</w:t>
            </w:r>
          </w:p>
        </w:tc>
        <w:tc>
          <w:tcPr>
            <w:tcW w:w="992" w:type="dxa"/>
          </w:tcPr>
          <w:p w:rsidR="0009324B" w:rsidRDefault="00356936" w:rsidP="0009324B">
            <w:r>
              <w:t>http</w:t>
            </w:r>
          </w:p>
        </w:tc>
        <w:tc>
          <w:tcPr>
            <w:tcW w:w="1134" w:type="dxa"/>
          </w:tcPr>
          <w:p w:rsidR="0009324B" w:rsidRDefault="00356936" w:rsidP="0009324B">
            <w:r>
              <w:t>Standard</w:t>
            </w:r>
          </w:p>
        </w:tc>
        <w:tc>
          <w:tcPr>
            <w:tcW w:w="2977" w:type="dxa"/>
          </w:tcPr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"Authorization" header field allows a user agent to authenticate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itself with an origin server -- usually, but not</w:t>
            </w:r>
            <w:r>
              <w:rPr>
                <w:color w:val="000000"/>
              </w:rPr>
              <w:t xml:space="preserve"> necessarily, after receiving a 401 (Unauthorized) response. Its value consists of </w:t>
            </w:r>
            <w:r>
              <w:rPr>
                <w:color w:val="000000"/>
              </w:rPr>
              <w:t>credentials containing the authentication information of the user</w:t>
            </w:r>
          </w:p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agent for the realm of the resource being requested.</w:t>
            </w:r>
          </w:p>
          <w:p w:rsidR="0009324B" w:rsidRDefault="0009324B" w:rsidP="0009324B"/>
        </w:tc>
        <w:tc>
          <w:tcPr>
            <w:tcW w:w="2125" w:type="dxa"/>
          </w:tcPr>
          <w:p w:rsidR="0009324B" w:rsidRDefault="00356936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11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RFC7235, Section 4.2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09324B" w:rsidTr="00606756">
        <w:tc>
          <w:tcPr>
            <w:tcW w:w="2122" w:type="dxa"/>
          </w:tcPr>
          <w:p w:rsidR="0009324B" w:rsidRDefault="00606756" w:rsidP="0009324B">
            <w:r>
              <w:t>Except</w:t>
            </w:r>
          </w:p>
        </w:tc>
        <w:tc>
          <w:tcPr>
            <w:tcW w:w="992" w:type="dxa"/>
          </w:tcPr>
          <w:p w:rsidR="0009324B" w:rsidRDefault="00356936" w:rsidP="0009324B">
            <w:r>
              <w:t>http</w:t>
            </w:r>
          </w:p>
        </w:tc>
        <w:tc>
          <w:tcPr>
            <w:tcW w:w="1134" w:type="dxa"/>
          </w:tcPr>
          <w:p w:rsidR="0009324B" w:rsidRDefault="00356936" w:rsidP="0009324B">
            <w:r>
              <w:t>standard</w:t>
            </w:r>
          </w:p>
        </w:tc>
        <w:tc>
          <w:tcPr>
            <w:tcW w:w="2977" w:type="dxa"/>
          </w:tcPr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"Expect" header field in a request indicates a certain set of behaviors (expectations) that need t</w:t>
            </w:r>
            <w:r>
              <w:rPr>
                <w:color w:val="000000"/>
              </w:rPr>
              <w:t xml:space="preserve">o be supported by the server in </w:t>
            </w:r>
            <w:r>
              <w:rPr>
                <w:color w:val="000000"/>
              </w:rPr>
              <w:t>order to properly handle this requ</w:t>
            </w:r>
            <w:r>
              <w:rPr>
                <w:color w:val="000000"/>
              </w:rPr>
              <w:t xml:space="preserve">est.  The only such expectation </w:t>
            </w:r>
            <w:r>
              <w:rPr>
                <w:color w:val="000000"/>
              </w:rPr>
              <w:t>defined by this specification is 100-continue.</w:t>
            </w:r>
          </w:p>
          <w:p w:rsidR="0009324B" w:rsidRDefault="0009324B" w:rsidP="0009324B"/>
        </w:tc>
        <w:tc>
          <w:tcPr>
            <w:tcW w:w="2125" w:type="dxa"/>
          </w:tcPr>
          <w:p w:rsidR="0009324B" w:rsidRDefault="00356936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12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RFC7231, Section 5.1.1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09324B" w:rsidTr="00606756">
        <w:tc>
          <w:tcPr>
            <w:tcW w:w="2122" w:type="dxa"/>
          </w:tcPr>
          <w:p w:rsidR="00606756" w:rsidRDefault="00606756" w:rsidP="0009324B">
            <w:r>
              <w:t>From</w:t>
            </w:r>
          </w:p>
        </w:tc>
        <w:tc>
          <w:tcPr>
            <w:tcW w:w="992" w:type="dxa"/>
          </w:tcPr>
          <w:p w:rsidR="0009324B" w:rsidRDefault="006A7418" w:rsidP="0009324B">
            <w:r>
              <w:t>http</w:t>
            </w:r>
          </w:p>
        </w:tc>
        <w:tc>
          <w:tcPr>
            <w:tcW w:w="1134" w:type="dxa"/>
          </w:tcPr>
          <w:p w:rsidR="0009324B" w:rsidRDefault="006A7418" w:rsidP="0009324B">
            <w:r>
              <w:t>Standard</w:t>
            </w:r>
          </w:p>
        </w:tc>
        <w:tc>
          <w:tcPr>
            <w:tcW w:w="2977" w:type="dxa"/>
          </w:tcPr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"From" header field contains an Internet email address for a</w:t>
            </w:r>
          </w:p>
          <w:p w:rsidR="000626BC" w:rsidRDefault="000626BC" w:rsidP="000626B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human user who contr</w:t>
            </w:r>
            <w:r>
              <w:rPr>
                <w:color w:val="000000"/>
              </w:rPr>
              <w:t xml:space="preserve">ols the requesting user agent. The address ought </w:t>
            </w:r>
            <w:r>
              <w:rPr>
                <w:color w:val="000000"/>
              </w:rPr>
              <w:t>to be machine-usa</w:t>
            </w:r>
            <w:r>
              <w:rPr>
                <w:color w:val="000000"/>
              </w:rPr>
              <w:t xml:space="preserve">ble, as defined by "mailbox" in </w:t>
            </w:r>
            <w:hyperlink r:id="rId13" w:anchor="section-3.4" w:history="1">
              <w:r>
                <w:rPr>
                  <w:rStyle w:val="Hyperlink"/>
                </w:rPr>
                <w:t>Section 3.4 of</w:t>
              </w:r>
              <w:r>
                <w:rPr>
                  <w:rStyle w:val="Hyperlink"/>
                  <w:color w:val="000000"/>
                  <w:u w:val="none"/>
                </w:rPr>
                <w:t xml:space="preserve"> </w:t>
              </w:r>
              <w:r>
                <w:rPr>
                  <w:rStyle w:val="Hyperlink"/>
                </w:rPr>
                <w:t>[RFC5322]</w:t>
              </w:r>
            </w:hyperlink>
            <w:r>
              <w:rPr>
                <w:color w:val="000000"/>
              </w:rPr>
              <w:t>:</w:t>
            </w:r>
          </w:p>
          <w:p w:rsidR="0009324B" w:rsidRDefault="0009324B" w:rsidP="0009324B"/>
        </w:tc>
        <w:tc>
          <w:tcPr>
            <w:tcW w:w="2125" w:type="dxa"/>
          </w:tcPr>
          <w:p w:rsidR="0009324B" w:rsidRDefault="006A7418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14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RFC7231, Section 5.5.1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606756" w:rsidTr="00606756">
        <w:tc>
          <w:tcPr>
            <w:tcW w:w="2122" w:type="dxa"/>
          </w:tcPr>
          <w:p w:rsidR="00606756" w:rsidRDefault="00606756" w:rsidP="0009324B">
            <w:r>
              <w:t>Host</w:t>
            </w:r>
          </w:p>
        </w:tc>
        <w:tc>
          <w:tcPr>
            <w:tcW w:w="992" w:type="dxa"/>
          </w:tcPr>
          <w:p w:rsidR="00606756" w:rsidRDefault="006A7418" w:rsidP="0009324B">
            <w:r>
              <w:t>http</w:t>
            </w:r>
          </w:p>
        </w:tc>
        <w:tc>
          <w:tcPr>
            <w:tcW w:w="1134" w:type="dxa"/>
          </w:tcPr>
          <w:p w:rsidR="00606756" w:rsidRDefault="006A7418" w:rsidP="0009324B">
            <w:r>
              <w:t>Standard</w:t>
            </w:r>
          </w:p>
        </w:tc>
        <w:tc>
          <w:tcPr>
            <w:tcW w:w="2977" w:type="dxa"/>
          </w:tcPr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"Host" header field in a request provides the host and port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information from the target URI, enabling the origin server to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distinguish among resources while </w:t>
            </w:r>
            <w:r>
              <w:rPr>
                <w:color w:val="000000"/>
              </w:rPr>
              <w:t xml:space="preserve">servicing requests for </w:t>
            </w:r>
            <w:r>
              <w:rPr>
                <w:color w:val="000000"/>
              </w:rPr>
              <w:lastRenderedPageBreak/>
              <w:t xml:space="preserve">multiple </w:t>
            </w:r>
            <w:r>
              <w:rPr>
                <w:color w:val="000000"/>
              </w:rPr>
              <w:t>host names on a single IP address.</w:t>
            </w:r>
          </w:p>
          <w:p w:rsidR="00606756" w:rsidRDefault="00606756" w:rsidP="0009324B"/>
        </w:tc>
        <w:tc>
          <w:tcPr>
            <w:tcW w:w="2125" w:type="dxa"/>
          </w:tcPr>
          <w:p w:rsidR="00606756" w:rsidRDefault="006A7418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lastRenderedPageBreak/>
              <w:t>[</w:t>
            </w:r>
            <w:hyperlink r:id="rId15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RFC7230, Section 5.4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606756" w:rsidTr="00606756">
        <w:tc>
          <w:tcPr>
            <w:tcW w:w="2122" w:type="dxa"/>
          </w:tcPr>
          <w:p w:rsidR="00606756" w:rsidRDefault="00606756" w:rsidP="0009324B">
            <w:r>
              <w:t>If-match</w:t>
            </w:r>
          </w:p>
        </w:tc>
        <w:tc>
          <w:tcPr>
            <w:tcW w:w="992" w:type="dxa"/>
          </w:tcPr>
          <w:p w:rsidR="00606756" w:rsidRDefault="006A7418" w:rsidP="0009324B">
            <w:r>
              <w:t>http</w:t>
            </w:r>
          </w:p>
        </w:tc>
        <w:tc>
          <w:tcPr>
            <w:tcW w:w="1134" w:type="dxa"/>
          </w:tcPr>
          <w:p w:rsidR="00606756" w:rsidRDefault="006A7418" w:rsidP="0009324B">
            <w:r>
              <w:t>Standard</w:t>
            </w:r>
          </w:p>
        </w:tc>
        <w:tc>
          <w:tcPr>
            <w:tcW w:w="2977" w:type="dxa"/>
          </w:tcPr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"If-None-Match" header field makes the request method conditional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on a recipient cache or origin server either not having any current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representation of the target resource, when the field-value is "*",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or having a selected representation w</w:t>
            </w:r>
            <w:r>
              <w:rPr>
                <w:color w:val="000000"/>
              </w:rPr>
              <w:t xml:space="preserve">ith an entity-tag that does not </w:t>
            </w:r>
            <w:r>
              <w:rPr>
                <w:color w:val="000000"/>
              </w:rPr>
              <w:t>match any of those listed in the field-value.</w:t>
            </w:r>
          </w:p>
          <w:p w:rsidR="00606756" w:rsidRDefault="00606756" w:rsidP="00903BCD">
            <w:pPr>
              <w:ind w:firstLine="720"/>
            </w:pPr>
          </w:p>
        </w:tc>
        <w:tc>
          <w:tcPr>
            <w:tcW w:w="2125" w:type="dxa"/>
          </w:tcPr>
          <w:p w:rsidR="00606756" w:rsidRDefault="006A7418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16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RFC7232, Section 3.1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606756" w:rsidTr="00606756">
        <w:tc>
          <w:tcPr>
            <w:tcW w:w="2122" w:type="dxa"/>
          </w:tcPr>
          <w:p w:rsidR="00606756" w:rsidRDefault="00606756" w:rsidP="0009324B">
            <w:r>
              <w:t>If-modified since</w:t>
            </w:r>
          </w:p>
        </w:tc>
        <w:tc>
          <w:tcPr>
            <w:tcW w:w="992" w:type="dxa"/>
          </w:tcPr>
          <w:p w:rsidR="00606756" w:rsidRDefault="006A7418" w:rsidP="0009324B">
            <w:r>
              <w:t>http</w:t>
            </w:r>
          </w:p>
        </w:tc>
        <w:tc>
          <w:tcPr>
            <w:tcW w:w="1134" w:type="dxa"/>
          </w:tcPr>
          <w:p w:rsidR="00606756" w:rsidRDefault="006A7418" w:rsidP="0009324B">
            <w:r>
              <w:t>standard</w:t>
            </w:r>
          </w:p>
        </w:tc>
        <w:tc>
          <w:tcPr>
            <w:tcW w:w="2977" w:type="dxa"/>
          </w:tcPr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"If-Modified-Since" header field makes a GET or HEAD request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method conditional on the selected representation's modification date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being more recent than the date provided in the field-value.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Transfer of the selected </w:t>
            </w:r>
            <w:r>
              <w:rPr>
                <w:color w:val="000000"/>
              </w:rPr>
              <w:t>representation's data is avoided if that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data has not changed.</w:t>
            </w:r>
          </w:p>
          <w:p w:rsidR="00606756" w:rsidRDefault="00606756" w:rsidP="00903BCD">
            <w:pPr>
              <w:jc w:val="center"/>
            </w:pPr>
          </w:p>
        </w:tc>
        <w:tc>
          <w:tcPr>
            <w:tcW w:w="2125" w:type="dxa"/>
          </w:tcPr>
          <w:p w:rsidR="00606756" w:rsidRDefault="006A7418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1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RFC7232, Section 3.3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606756" w:rsidTr="00606756">
        <w:tc>
          <w:tcPr>
            <w:tcW w:w="2122" w:type="dxa"/>
          </w:tcPr>
          <w:p w:rsidR="00606756" w:rsidRDefault="00606756" w:rsidP="0009324B">
            <w:r>
              <w:t>If-unmodified-since</w:t>
            </w:r>
          </w:p>
        </w:tc>
        <w:tc>
          <w:tcPr>
            <w:tcW w:w="992" w:type="dxa"/>
          </w:tcPr>
          <w:p w:rsidR="00606756" w:rsidRDefault="006A7418" w:rsidP="0009324B">
            <w:r>
              <w:t>http</w:t>
            </w:r>
          </w:p>
        </w:tc>
        <w:tc>
          <w:tcPr>
            <w:tcW w:w="1134" w:type="dxa"/>
          </w:tcPr>
          <w:p w:rsidR="00606756" w:rsidRDefault="006A7418" w:rsidP="0009324B">
            <w:r>
              <w:t>standard</w:t>
            </w:r>
          </w:p>
        </w:tc>
        <w:tc>
          <w:tcPr>
            <w:tcW w:w="2977" w:type="dxa"/>
          </w:tcPr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"If-Unmodified-Since" header field makes the request method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conditional on the selected representation's last modification date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being earlier than or equal to the da</w:t>
            </w:r>
            <w:r>
              <w:rPr>
                <w:color w:val="000000"/>
              </w:rPr>
              <w:t xml:space="preserve">te provided in the field-value. </w:t>
            </w:r>
            <w:r>
              <w:rPr>
                <w:color w:val="000000"/>
              </w:rPr>
              <w:t>This field accomplishes the same purp</w:t>
            </w:r>
            <w:r>
              <w:rPr>
                <w:color w:val="000000"/>
              </w:rPr>
              <w:t xml:space="preserve">ose as If-Match for cases where </w:t>
            </w:r>
            <w:r>
              <w:rPr>
                <w:color w:val="000000"/>
              </w:rPr>
              <w:t>the user agent does not have an entity-tag for the representation.</w:t>
            </w:r>
          </w:p>
          <w:p w:rsidR="00606756" w:rsidRDefault="00606756" w:rsidP="0009324B"/>
        </w:tc>
        <w:tc>
          <w:tcPr>
            <w:tcW w:w="2125" w:type="dxa"/>
          </w:tcPr>
          <w:p w:rsidR="00606756" w:rsidRDefault="006A7418" w:rsidP="006A7418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18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RFC7232, Section 3.4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606756" w:rsidTr="00606756">
        <w:tc>
          <w:tcPr>
            <w:tcW w:w="2122" w:type="dxa"/>
          </w:tcPr>
          <w:p w:rsidR="00606756" w:rsidRDefault="00606756" w:rsidP="0009324B">
            <w:r>
              <w:t>If-none match</w:t>
            </w:r>
          </w:p>
        </w:tc>
        <w:tc>
          <w:tcPr>
            <w:tcW w:w="992" w:type="dxa"/>
          </w:tcPr>
          <w:p w:rsidR="00606756" w:rsidRDefault="006A7418" w:rsidP="0009324B">
            <w:r>
              <w:t>http</w:t>
            </w:r>
          </w:p>
        </w:tc>
        <w:tc>
          <w:tcPr>
            <w:tcW w:w="1134" w:type="dxa"/>
          </w:tcPr>
          <w:p w:rsidR="00606756" w:rsidRDefault="006A7418" w:rsidP="0009324B">
            <w:r>
              <w:t>Standard</w:t>
            </w:r>
          </w:p>
        </w:tc>
        <w:tc>
          <w:tcPr>
            <w:tcW w:w="2977" w:type="dxa"/>
          </w:tcPr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The "If-None-Match" header field makes the </w:t>
            </w:r>
            <w:r>
              <w:rPr>
                <w:color w:val="000000"/>
              </w:rPr>
              <w:lastRenderedPageBreak/>
              <w:t>request method conditional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on a recipient cache or origin server either not having any current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representation of the target resource, when the field-value is "*",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or having a selected representation with </w:t>
            </w:r>
            <w:r>
              <w:rPr>
                <w:color w:val="000000"/>
              </w:rPr>
              <w:t xml:space="preserve">an entity-tag that does not </w:t>
            </w:r>
            <w:r>
              <w:rPr>
                <w:color w:val="000000"/>
              </w:rPr>
              <w:t>match any of those listed in the field-value.</w:t>
            </w:r>
          </w:p>
          <w:p w:rsidR="00606756" w:rsidRDefault="00606756" w:rsidP="00903BCD">
            <w:pPr>
              <w:ind w:firstLine="720"/>
            </w:pPr>
          </w:p>
        </w:tc>
        <w:tc>
          <w:tcPr>
            <w:tcW w:w="2125" w:type="dxa"/>
          </w:tcPr>
          <w:p w:rsidR="00606756" w:rsidRDefault="006A7418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lastRenderedPageBreak/>
              <w:t>[</w:t>
            </w:r>
            <w:hyperlink r:id="rId19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RFC7232, Section 3.2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  <w:tr w:rsidR="00606756" w:rsidTr="00606756">
        <w:tc>
          <w:tcPr>
            <w:tcW w:w="2122" w:type="dxa"/>
          </w:tcPr>
          <w:p w:rsidR="00606756" w:rsidRDefault="00606756" w:rsidP="0009324B">
            <w:r>
              <w:t>If range</w:t>
            </w:r>
          </w:p>
        </w:tc>
        <w:tc>
          <w:tcPr>
            <w:tcW w:w="992" w:type="dxa"/>
          </w:tcPr>
          <w:p w:rsidR="00606756" w:rsidRDefault="006A7418" w:rsidP="0009324B">
            <w:r>
              <w:t>http</w:t>
            </w:r>
          </w:p>
        </w:tc>
        <w:tc>
          <w:tcPr>
            <w:tcW w:w="1134" w:type="dxa"/>
          </w:tcPr>
          <w:p w:rsidR="00606756" w:rsidRDefault="006A7418" w:rsidP="0009324B">
            <w:r>
              <w:t>standard</w:t>
            </w:r>
          </w:p>
        </w:tc>
        <w:tc>
          <w:tcPr>
            <w:tcW w:w="2977" w:type="dxa"/>
          </w:tcPr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"If-Range" header field allows a client to "short-circuit" the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second request.  Informally, its meaning is as follows: if the</w:t>
            </w:r>
          </w:p>
          <w:p w:rsidR="00903BCD" w:rsidRDefault="00903BCD" w:rsidP="00903BC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representation is unchanged, send me the p</w:t>
            </w:r>
            <w:r>
              <w:rPr>
                <w:color w:val="000000"/>
              </w:rPr>
              <w:t xml:space="preserve">art(s) that I am requesting </w:t>
            </w:r>
            <w:r>
              <w:rPr>
                <w:color w:val="000000"/>
              </w:rPr>
              <w:t>in Range; otherwise, send me the entire representation.</w:t>
            </w:r>
          </w:p>
          <w:p w:rsidR="00606756" w:rsidRDefault="00606756" w:rsidP="0009324B"/>
        </w:tc>
        <w:tc>
          <w:tcPr>
            <w:tcW w:w="2125" w:type="dxa"/>
          </w:tcPr>
          <w:p w:rsidR="00606756" w:rsidRDefault="006A7418" w:rsidP="0009324B"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[</w:t>
            </w:r>
            <w:hyperlink r:id="rId2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RFC7233, Section 3.2</w:t>
              </w:r>
            </w:hyperlink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]</w:t>
            </w:r>
          </w:p>
        </w:tc>
      </w:tr>
    </w:tbl>
    <w:p w:rsidR="00903BCD" w:rsidRDefault="00903BCD" w:rsidP="0009324B">
      <w:r>
        <w:t>References:</w:t>
      </w:r>
    </w:p>
    <w:p w:rsidR="000405CE" w:rsidRDefault="00903BCD" w:rsidP="0009324B">
      <w:r w:rsidRPr="00903BCD">
        <w:t xml:space="preserve"> </w:t>
      </w:r>
      <w:hyperlink r:id="rId21" w:history="1">
        <w:r w:rsidRPr="005D1A17">
          <w:rPr>
            <w:rStyle w:val="Hyperlink"/>
          </w:rPr>
          <w:t>https://www.iana.org/assignments/message-headers/message-headers.xhtml</w:t>
        </w:r>
      </w:hyperlink>
    </w:p>
    <w:p w:rsidR="00903BCD" w:rsidRDefault="00903BCD" w:rsidP="0009324B">
      <w:hyperlink r:id="rId22" w:history="1">
        <w:r w:rsidRPr="005D1A17">
          <w:rPr>
            <w:rStyle w:val="Hyperlink"/>
          </w:rPr>
          <w:t>https://tools.ietf.org/html/rfc7231</w:t>
        </w:r>
      </w:hyperlink>
    </w:p>
    <w:p w:rsidR="00903BCD" w:rsidRDefault="00903BCD" w:rsidP="0009324B">
      <w:hyperlink r:id="rId23" w:history="1">
        <w:r w:rsidRPr="005D1A17">
          <w:rPr>
            <w:rStyle w:val="Hyperlink"/>
          </w:rPr>
          <w:t>https://tools.ietf.org/html/rfc7233</w:t>
        </w:r>
      </w:hyperlink>
    </w:p>
    <w:p w:rsidR="00903BCD" w:rsidRDefault="00903BCD" w:rsidP="0009324B">
      <w:bookmarkStart w:id="0" w:name="_GoBack"/>
      <w:bookmarkEnd w:id="0"/>
    </w:p>
    <w:sectPr w:rsidR="00903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4B"/>
    <w:rsid w:val="000405CE"/>
    <w:rsid w:val="000626BC"/>
    <w:rsid w:val="0009324B"/>
    <w:rsid w:val="00356936"/>
    <w:rsid w:val="00606756"/>
    <w:rsid w:val="006A7418"/>
    <w:rsid w:val="009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6D11"/>
  <w15:chartTrackingRefBased/>
  <w15:docId w15:val="{2463EF2E-6C5F-453C-9ECB-54EFF42D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7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418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Mention">
    <w:name w:val="Mention"/>
    <w:basedOn w:val="DefaultParagraphFont"/>
    <w:uiPriority w:val="99"/>
    <w:semiHidden/>
    <w:unhideWhenUsed/>
    <w:rsid w:val="00903B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go/rfc7231" TargetMode="External"/><Relationship Id="rId13" Type="http://schemas.openxmlformats.org/officeDocument/2006/relationships/hyperlink" Target="https://tools.ietf.org/html/rfc5322" TargetMode="External"/><Relationship Id="rId18" Type="http://schemas.openxmlformats.org/officeDocument/2006/relationships/hyperlink" Target="http://www.iana.org/go/rfc72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ana.org/assignments/message-headers/message-headers.xhtml" TargetMode="External"/><Relationship Id="rId7" Type="http://schemas.openxmlformats.org/officeDocument/2006/relationships/hyperlink" Target="http://www.iana.org/go/rfc7694" TargetMode="External"/><Relationship Id="rId12" Type="http://schemas.openxmlformats.org/officeDocument/2006/relationships/hyperlink" Target="http://www.iana.org/go/rfc7231" TargetMode="External"/><Relationship Id="rId17" Type="http://schemas.openxmlformats.org/officeDocument/2006/relationships/hyperlink" Target="http://www.iana.org/go/rfc723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iana.org/go/rfc7232" TargetMode="External"/><Relationship Id="rId20" Type="http://schemas.openxmlformats.org/officeDocument/2006/relationships/hyperlink" Target="http://www.iana.org/go/rfc723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ana.org/go/rfc7231" TargetMode="External"/><Relationship Id="rId11" Type="http://schemas.openxmlformats.org/officeDocument/2006/relationships/hyperlink" Target="http://www.iana.org/go/rfc723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ools.ietf.org/html/rfc7231" TargetMode="External"/><Relationship Id="rId15" Type="http://schemas.openxmlformats.org/officeDocument/2006/relationships/hyperlink" Target="http://www.iana.org/go/rfc7230" TargetMode="External"/><Relationship Id="rId23" Type="http://schemas.openxmlformats.org/officeDocument/2006/relationships/hyperlink" Target="https://tools.ietf.org/html/rfc7233" TargetMode="External"/><Relationship Id="rId10" Type="http://schemas.openxmlformats.org/officeDocument/2006/relationships/hyperlink" Target="http://www.iana.org/go/rfc7231" TargetMode="External"/><Relationship Id="rId19" Type="http://schemas.openxmlformats.org/officeDocument/2006/relationships/hyperlink" Target="http://www.iana.org/go/rfc7232" TargetMode="External"/><Relationship Id="rId4" Type="http://schemas.openxmlformats.org/officeDocument/2006/relationships/hyperlink" Target="http://www.iana.org/go/rfc7231" TargetMode="Externa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hyperlink" Target="http://www.iana.org/go/rfc7231" TargetMode="External"/><Relationship Id="rId22" Type="http://schemas.openxmlformats.org/officeDocument/2006/relationships/hyperlink" Target="https://tools.ietf.org/html/rfc7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Castillo</dc:creator>
  <cp:keywords/>
  <dc:description/>
  <cp:lastModifiedBy>Mark Castillo</cp:lastModifiedBy>
  <cp:revision>1</cp:revision>
  <dcterms:created xsi:type="dcterms:W3CDTF">2017-03-19T06:52:00Z</dcterms:created>
  <dcterms:modified xsi:type="dcterms:W3CDTF">2017-03-19T08:01:00Z</dcterms:modified>
</cp:coreProperties>
</file>