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theme/theme1.xml" ContentType="application/vnd.openxmlformats-officedocument.theme+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p14="http://schemas.microsoft.com/office/word/2010/wordprocessingDrawing" xmlns:wpi="http://schemas.microsoft.com/office/word/2010/wordprocessingInk" xmlns:aink="http://schemas.microsoft.com/office/drawing/2016/ink">
  <w:body>
    <w:p>
      <w:pPr>
        <w:rPr>
          <w:rFonts w:ascii="Arial" w:cs="Arial" w:eastAsia="Arial" w:hAnsi="Arial"/>
          <w:sz w:val="22"/>
          <w:szCs w:val="22"/>
        </w:rPr>
      </w:pPr>
    </w:p>
    <w:tbl>
      <w:tblPr>
        <w:tblStyle w:val="Table1"/>
        <w:tblW w:w="9905" w:type="dxa"/>
        <w:jc w:val="left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/>
      </w:tblPr>
      <w:tblGrid>
        <w:gridCol w:w="620"/>
        <w:gridCol w:w="2250"/>
        <w:gridCol w:w="7035"/>
      </w:tblGrid>
      <w:tr>
        <w:trPr>
          <w:trHeight w:val="340" w:hRule="atLeast"/>
        </w:trPr>
        <w:tc>
          <w:tcPr>
            <w:cnfStyle w:val="000000100000"/>
            <w:shd w:val="clear" w:fill="efefef"/>
            <w:vAlign w:val="center"/>
          </w:tcPr>
          <w:p>
            <w:pPr>
              <w:jc w:val="center"/>
              <w:rPr>
                <w:rFonts w:ascii="Calibri" w:cs="Calibri" w:eastAsia="Calibri" w:hAnsi="Calibri"/>
                <w:b/>
                <w:sz w:val="22"/>
                <w:szCs w:val="22"/>
              </w:rPr>
            </w:pPr>
            <w:r>
              <w:rPr>
                <w:rFonts w:ascii="Calibri" w:cs="Calibri" w:eastAsia="Calibri" w:hAnsi="Calibri"/>
                <w:b/>
                <w:rtl w:val="off"/>
              </w:rPr>
              <w:t>Код темы</w:t>
            </w:r>
          </w:p>
        </w:tc>
        <w:tc>
          <w:tcPr>
            <w:cnfStyle w:val="000000100000"/>
            <w:shd w:val="clear" w:fill="efefef"/>
            <w:vAlign w:val="center"/>
          </w:tcPr>
          <w:p>
            <w:pPr>
              <w:jc w:val="center"/>
              <w:rPr>
                <w:rFonts w:ascii="Calibri" w:cs="Calibri" w:eastAsia="Calibri" w:hAnsi="Calibri"/>
                <w:b/>
                <w:sz w:val="22"/>
                <w:szCs w:val="22"/>
              </w:rPr>
            </w:pPr>
            <w:r>
              <w:rPr>
                <w:rFonts w:ascii="Calibri" w:cs="Calibri" w:eastAsia="Calibri" w:hAnsi="Calibri"/>
                <w:b/>
                <w:rtl w:val="off"/>
              </w:rPr>
              <w:t>Тема</w:t>
            </w:r>
          </w:p>
        </w:tc>
        <w:tc>
          <w:tcPr>
            <w:cnfStyle w:val="000000100000"/>
            <w:shd w:val="clear" w:fill="efefef"/>
            <w:vAlign w:val="center"/>
          </w:tcPr>
          <w:p>
            <w:pPr>
              <w:jc w:val="center"/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</w:tr>
      <w:tr>
        <w:trPr>
          <w:trHeight w:val="360" w:hRule="atLeast"/>
        </w:trPr>
        <w:tc>
          <w:tcPr>
            <w:cnfStyle w:val="000000010000"/>
            <w:gridSpan w:val="2"/>
            <w:shd w:val="clear" w:fill="fff2cc"/>
          </w:tcPr>
          <w:p>
            <w:pPr>
              <w:rPr>
                <w:rFonts w:ascii="Calibri" w:cs="Calibri" w:eastAsia="Calibri" w:hAnsi="Calibri"/>
                <w:b/>
                <w:sz w:val="22"/>
                <w:szCs w:val="22"/>
              </w:rPr>
            </w:pPr>
            <w:r>
              <w:rPr>
                <w:rFonts w:ascii="Calibri" w:cs="Calibri" w:eastAsia="Calibri" w:hAnsi="Calibri"/>
                <w:b/>
                <w:rtl w:val="off"/>
              </w:rPr>
              <w:t>ЧЕЛОВЕК И ОБЩЕСТВО</w:t>
            </w:r>
            <w:r>
              <w:rPr>
                <w:rFonts w:ascii="Calibri" w:cs="Calibri" w:eastAsia="Calibri" w:hAnsi="Calibri"/>
                <w:b/>
              </w:rPr>
              <w:drawing xmlns:mc="http://schemas.openxmlformats.org/markup-compatibility/2006">
                <wp:inline distT="0" distB="0" distL="0" distR="0">
                  <wp:extent cx="1405029" cy="1405029"/>
                  <wp:effectExtent l="0" t="0" r="0" b="0"/>
                  <wp:docPr id="58" name="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029" cy="14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10000"/>
            <w:shd w:val="clear" w:fill="fff2cc"/>
          </w:tcPr>
          <w:p>
            <w:pPr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</w:rPr>
              <w:drawing xmlns:mc="http://schemas.openxmlformats.org/markup-compatibility/2006">
                <wp:inline distT="0" distB="0" distL="0" distR="0">
                  <wp:extent cx="1766888" cy="1766888"/>
                  <wp:effectExtent l="0" t="0" r="0" b="0"/>
                  <wp:docPr id="59" name="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888" cy="1766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130" w:hRule="atLeast"/>
        </w:trPr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1.1</w:t>
            </w:r>
          </w:p>
        </w:tc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Природное и общественное в человеке. (Человек как результат биологической и социокультурной эволюции) + общество</w:t>
            </w:r>
          </w:p>
        </w:tc>
        <w:tc>
          <w:tcPr>
            <w:cnfStyle w:val="000000100000"/>
            <w:shd w:val="clear" w:fill="ffffff"/>
          </w:tcPr>
          <w:p>
            <w:pPr>
              <w:framePr w:w="0" w:h="0" w:vAnchor="margin" w:hAnchor="text" w:x="0" w:y="0"/>
              <w:pBdr>
                <w:top w:val="none" w:sz="4" w:space="0"/>
                <w:left w:val="none" w:sz="4" w:space="0"/>
                <w:bottom w:val="none" w:sz="4" w:space="0"/>
                <w:right w:val="none" w:sz="4" w:space="0"/>
                <w:between w:val="none" w:sz="4" w:space="0"/>
                <w:bar w:val="none" w:sz="4" w:space="0"/>
              </w:pBdr>
              <w:shd w:val="clear" w:fill="auto"/>
              <w:bidi w:val="off"/>
              <w:spacing w:before="0" w:after="0" w:line="240" w:lineRule="auto"/>
              <w:ind w:left="0" w:right="0" w:firstLine="0"/>
              <w:jc w:val="left"/>
              <w:rPr>
                <w:rFonts w:ascii="Segoe UI"/>
                <w:color w:val="000000"/>
                <w:sz w:val="18"/>
                <w:lang w:val="en-US"/>
              </w:rPr>
            </w:pPr>
            <w:r>
              <w:rPr>
                <w:rFonts w:ascii="montserrat"/>
                <w:color w:val="000000"/>
                <w:sz w:val="34"/>
                <w:rtl w:val="off"/>
                <w:lang w:val="en-US"/>
              </w:rPr>
              <w:t>Алина любит водить автомобиль.</w:t>
            </w:r>
            <w:r>
              <w:rPr>
                <w:rFonts w:ascii="Segoe UI"/>
                <w:color w:val="000000"/>
                <w:sz w:val="18"/>
                <w:rtl w:val="off"/>
                <w:lang w:val="en-US"/>
              </w:rPr>
              <w:t xml:space="preserve"> (</w:t>
            </w:r>
            <w:r>
              <w:rPr>
                <w:rFonts w:ascii="Segoe UI"/>
                <w:color w:val="000000"/>
                <w:sz w:val="18"/>
                <w:rtl w:val="off"/>
                <w:lang w:val="ru-RU"/>
              </w:rPr>
              <w:t>соц.характер)</w:t>
            </w:r>
          </w:p>
          <w:p>
            <w:pPr>
              <w:ind w:left="0" w:firstLine="0"/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1.2</w:t>
            </w:r>
          </w:p>
        </w:tc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Мировоззрение, его виды и формы</w:t>
            </w:r>
          </w:p>
        </w:tc>
        <w:tc>
          <w:tcPr>
            <w:cnfStyle w:val="00000001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1.3</w:t>
            </w:r>
          </w:p>
        </w:tc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Виды знаний + познание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1.4</w:t>
            </w:r>
          </w:p>
        </w:tc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Понятие истины, её критерии</w:t>
            </w:r>
          </w:p>
        </w:tc>
        <w:tc>
          <w:tcPr>
            <w:cnfStyle w:val="00000001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1.5</w:t>
            </w:r>
          </w:p>
        </w:tc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Мышление и деятельность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1.6</w:t>
            </w:r>
          </w:p>
        </w:tc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Потребности и интересы</w:t>
            </w:r>
          </w:p>
        </w:tc>
        <w:tc>
          <w:tcPr>
            <w:cnfStyle w:val="000000010000"/>
            <w:shd w:val="clear" w:fill="ffffff"/>
          </w:tcPr>
          <w:p>
            <w:pPr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1.7</w:t>
            </w:r>
          </w:p>
        </w:tc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Свобода и необходимость в человеческой деятельности. Свобода и ответственность</w:t>
            </w:r>
          </w:p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  <w:tc>
          <w:tcPr>
            <w:cnfStyle w:val="00000010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1.8</w:t>
            </w:r>
          </w:p>
        </w:tc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Системное строение общества: элементы и подсистемы</w:t>
            </w:r>
          </w:p>
        </w:tc>
        <w:tc>
          <w:tcPr>
            <w:cnfStyle w:val="00000001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1.9</w:t>
            </w:r>
          </w:p>
        </w:tc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Основные институты общества</w:t>
            </w:r>
          </w:p>
        </w:tc>
        <w:tc>
          <w:tcPr>
            <w:cnfStyle w:val="00000010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1.10</w:t>
            </w:r>
          </w:p>
        </w:tc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Понятие культуры. Формы и разновидности культуры</w:t>
            </w:r>
          </w:p>
        </w:tc>
        <w:tc>
          <w:tcPr>
            <w:cnfStyle w:val="00000001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1.11</w:t>
            </w:r>
          </w:p>
        </w:tc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Наука. Основные особенности научного мышления. Естественные и социально-гуманитарные науки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1.12</w:t>
            </w:r>
          </w:p>
        </w:tc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Образование, его значение для личности и общества</w:t>
            </w:r>
          </w:p>
        </w:tc>
        <w:tc>
          <w:tcPr>
            <w:cnfStyle w:val="00000001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1.13</w:t>
            </w:r>
          </w:p>
        </w:tc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Религия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1.14</w:t>
            </w:r>
          </w:p>
        </w:tc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Искусство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1.15</w:t>
            </w:r>
          </w:p>
        </w:tc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Мораль</w:t>
            </w:r>
          </w:p>
        </w:tc>
        <w:tc>
          <w:tcPr>
            <w:cnfStyle w:val="00000010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1.16</w:t>
            </w:r>
          </w:p>
        </w:tc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Понятие общественного прогресса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1.17</w:t>
            </w:r>
          </w:p>
        </w:tc>
        <w:tc>
          <w:tcPr>
            <w:cnfStyle w:val="00000010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Многовариантность общественного развития (типы обществ)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1.18</w:t>
            </w:r>
          </w:p>
        </w:tc>
        <w:tc>
          <w:tcPr>
            <w:cnfStyle w:val="000000010000"/>
            <w:shd w:val="clear" w:fill="fff2c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Угрозы XXI в. (глобальные проблемы)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360" w:hRule="atLeast"/>
        </w:trPr>
        <w:tc>
          <w:tcPr>
            <w:cnfStyle w:val="000000100000"/>
            <w:gridSpan w:val="2"/>
            <w:shd w:val="clear" w:fill="d9ead3"/>
          </w:tcPr>
          <w:p>
            <w:pPr>
              <w:rPr>
                <w:rFonts w:ascii="Calibri" w:cs="Calibri" w:eastAsia="Calibri" w:hAnsi="Calibri"/>
                <w:b/>
                <w:sz w:val="22"/>
                <w:szCs w:val="22"/>
              </w:rPr>
            </w:pPr>
            <w:r>
              <w:rPr>
                <w:rFonts w:ascii="Calibri" w:cs="Calibri" w:eastAsia="Calibri" w:hAnsi="Calibri"/>
                <w:b/>
                <w:rtl w:val="off"/>
              </w:rPr>
              <w:t>ЭКОНОМИКА</w:t>
            </w:r>
            <w:r>
              <w:rPr>
                <w:rFonts w:ascii="Calibri" w:cs="Calibri" w:eastAsia="Calibri" w:hAnsi="Calibri"/>
              </w:rPr>
              <w:drawing xmlns:mc="http://schemas.openxmlformats.org/markup-compatibility/2006">
                <wp:inline distT="0" distB="0" distL="0" distR="0">
                  <wp:extent cx="1214438" cy="1214438"/>
                  <wp:effectExtent l="0" t="0" r="0" b="0"/>
                  <wp:docPr id="60" name="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438" cy="121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100000"/>
            <w:shd w:val="clear" w:fill="d9ead3"/>
          </w:tcPr>
          <w:p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</w:rPr>
              <w:drawing xmlns:mc="http://schemas.openxmlformats.org/markup-compatibility/2006">
                <wp:inline distT="0" distB="0" distL="0" distR="0">
                  <wp:extent cx="1385888" cy="1385888"/>
                  <wp:effectExtent l="0" t="0" r="0" b="0"/>
                  <wp:docPr id="61" name="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888" cy="138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20" w:hRule="atLeast"/>
        </w:trPr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2.1</w:t>
            </w:r>
          </w:p>
        </w:tc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Экономика и экономическая наука</w:t>
            </w:r>
          </w:p>
        </w:tc>
        <w:tc>
          <w:tcPr>
            <w:cnfStyle w:val="000000010000"/>
            <w:shd w:val="clear" w:fill="ffffff"/>
          </w:tcPr>
          <w:p>
            <w:pPr>
              <w:ind w:left="720" w:firstLine="0"/>
              <w:rPr>
                <w:rFonts w:ascii="Calibri" w:cs="Calibri" w:eastAsia="Calibri" w:hAnsi="Calibri"/>
                <w:color w:val="222222"/>
                <w:sz w:val="18"/>
                <w:szCs w:val="18"/>
              </w:rPr>
            </w:pPr>
            <w:bookmarkStart w:id="0" w:name="_heading=h.7b7yjd3x2w0k"/>
            <w:bookmarkEnd w:id="0"/>
          </w:p>
          <w:p>
            <w:pPr>
              <w:ind w:left="0" w:firstLine="0"/>
              <w:rPr>
                <w:rFonts w:ascii="Calibri" w:cs="Calibri" w:eastAsia="Calibri" w:hAnsi="Calibri"/>
                <w:color w:val="222222"/>
                <w:sz w:val="22"/>
                <w:szCs w:val="22"/>
              </w:rPr>
            </w:pPr>
            <w:bookmarkStart w:id="1" w:name="_heading=h.uax7jr21fpoe"/>
            <w:bookmarkEnd w:id="1"/>
          </w:p>
        </w:tc>
      </w:tr>
      <w:tr>
        <w:trPr>
          <w:trHeight w:val="1120" w:hRule="atLeast"/>
        </w:trPr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2.2</w:t>
            </w:r>
          </w:p>
        </w:tc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Факторы производства и факторные доходы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2.3</w:t>
            </w:r>
          </w:p>
        </w:tc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Экономические системы</w:t>
            </w:r>
          </w:p>
        </w:tc>
        <w:tc>
          <w:tcPr>
            <w:cnfStyle w:val="000000010000"/>
            <w:shd w:val="clear" w:fill="ffffff"/>
          </w:tcPr>
          <w:p>
            <w:pPr>
              <w:rPr>
                <w:rFonts w:ascii="Calibri" w:cs="Calibri" w:eastAsia="Calibri" w:hAnsi="Calibri"/>
                <w:color w:val="222222"/>
                <w:sz w:val="22"/>
                <w:szCs w:val="22"/>
                <w:highlight w:val="whit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2.4</w:t>
            </w:r>
          </w:p>
        </w:tc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Рынок и рыночный механизм. Спрос и предложение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2.5</w:t>
            </w:r>
          </w:p>
        </w:tc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Постоянные и переменные затраты</w:t>
            </w:r>
          </w:p>
        </w:tc>
        <w:tc>
          <w:tcPr>
            <w:cnfStyle w:val="00000001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2.6</w:t>
            </w:r>
          </w:p>
        </w:tc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Финансовые институты. Банковская система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b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2.7</w:t>
            </w:r>
          </w:p>
        </w:tc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Основные источники финансирования бизнеса</w:t>
            </w:r>
          </w:p>
        </w:tc>
        <w:tc>
          <w:tcPr>
            <w:cnfStyle w:val="00000001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2.8</w:t>
            </w:r>
          </w:p>
        </w:tc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Ценные бумаги</w:t>
            </w:r>
          </w:p>
        </w:tc>
        <w:tc>
          <w:tcPr>
            <w:cnfStyle w:val="000000100000"/>
            <w:shd w:val="clear" w:fill="ffffff"/>
          </w:tcPr>
          <w:p>
            <w:pPr>
              <w:ind w:left="72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2.9</w:t>
            </w:r>
          </w:p>
        </w:tc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Рынок труда. Безработица</w:t>
            </w:r>
          </w:p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+++ конкуренция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color w:val="222222"/>
                <w:sz w:val="22"/>
                <w:szCs w:val="22"/>
                <w:highlight w:val="whit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2.10</w:t>
            </w:r>
          </w:p>
        </w:tc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Виды, причины и последствия инфляции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2.11</w:t>
            </w:r>
          </w:p>
        </w:tc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Экономический рост и развитие. Понятие ВВП</w:t>
            </w:r>
          </w:p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+Экономический цикл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2.12</w:t>
            </w:r>
          </w:p>
        </w:tc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Роль государства в экономике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2.13</w:t>
            </w:r>
          </w:p>
        </w:tc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Налоги</w:t>
            </w:r>
          </w:p>
        </w:tc>
        <w:tc>
          <w:tcPr>
            <w:cnfStyle w:val="00000001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2.14</w:t>
            </w:r>
          </w:p>
        </w:tc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Государственный бюджет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2.15</w:t>
            </w:r>
          </w:p>
        </w:tc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Мировая экономика</w:t>
            </w:r>
          </w:p>
        </w:tc>
        <w:tc>
          <w:tcPr>
            <w:cnfStyle w:val="00000001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2.16</w:t>
            </w:r>
          </w:p>
        </w:tc>
        <w:tc>
          <w:tcPr>
            <w:cnfStyle w:val="00000010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Рациональное экономическое поведение потребителя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2.17</w:t>
            </w:r>
          </w:p>
        </w:tc>
        <w:tc>
          <w:tcPr>
            <w:cnfStyle w:val="000000010000"/>
            <w:shd w:val="clear" w:fill="d9ead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Предпринимательство, фирмы</w:t>
            </w:r>
          </w:p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360" w:hRule="atLeast"/>
        </w:trPr>
        <w:tc>
          <w:tcPr>
            <w:cnfStyle w:val="000000100000"/>
            <w:gridSpan w:val="2"/>
            <w:shd w:val="clear" w:fill="cfe2f3"/>
          </w:tcPr>
          <w:p>
            <w:pPr>
              <w:rPr>
                <w:rFonts w:ascii="Calibri" w:cs="Calibri" w:eastAsia="Calibri" w:hAnsi="Calibri"/>
                <w:b/>
                <w:sz w:val="22"/>
                <w:szCs w:val="22"/>
              </w:rPr>
            </w:pPr>
            <w:r>
              <w:rPr>
                <w:rFonts w:ascii="Calibri" w:cs="Calibri" w:eastAsia="Calibri" w:hAnsi="Calibri"/>
                <w:b/>
                <w:rtl w:val="off"/>
              </w:rPr>
              <w:t>СОЦИАЛЬНЫЕ ОТНОШЕНИЯ</w:t>
            </w:r>
          </w:p>
          <w:p>
            <w:pPr>
              <w:rPr>
                <w:rFonts w:ascii="Calibri" w:cs="Calibri" w:eastAsia="Calibri" w:hAnsi="Calibri"/>
                <w:b/>
                <w:sz w:val="22"/>
                <w:szCs w:val="22"/>
              </w:rPr>
            </w:pPr>
            <w:r>
              <w:rPr>
                <w:rFonts w:ascii="Calibri" w:cs="Calibri" w:eastAsia="Calibri" w:hAnsi="Calibri"/>
                <w:b/>
              </w:rPr>
              <w:drawing xmlns:mc="http://schemas.openxmlformats.org/markup-compatibility/2006">
                <wp:inline distT="0" distB="0" distL="0" distR="0">
                  <wp:extent cx="1457846" cy="1457846"/>
                  <wp:effectExtent l="0" t="0" r="0" b="0"/>
                  <wp:docPr id="62" name="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846" cy="14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100000"/>
            <w:shd w:val="clear" w:fill="cfe2f3"/>
          </w:tcPr>
          <w:p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</w:rPr>
              <w:drawing xmlns:mc="http://schemas.openxmlformats.org/markup-compatibility/2006">
                <wp:inline distT="0" distB="0" distL="0" distR="0">
                  <wp:extent cx="1624013" cy="1624013"/>
                  <wp:effectExtent l="0" t="0" r="0" b="0"/>
                  <wp:docPr id="63" name="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013" cy="162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20" w:hRule="atLeast"/>
        </w:trPr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3.1</w:t>
            </w:r>
          </w:p>
        </w:tc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Социальная стратификация и мобильность</w:t>
            </w:r>
          </w:p>
        </w:tc>
        <w:tc>
          <w:tcPr>
            <w:cnfStyle w:val="00000001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3.2</w:t>
            </w:r>
          </w:p>
        </w:tc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Социальные группы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3.3</w:t>
            </w:r>
          </w:p>
        </w:tc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Молодёжь как социальная группа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3.4</w:t>
            </w:r>
          </w:p>
        </w:tc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Этнические общности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3.5</w:t>
            </w:r>
          </w:p>
        </w:tc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Межнациональные отношения, этносоциальные конфликты, пути их разрешения</w:t>
            </w:r>
          </w:p>
        </w:tc>
        <w:tc>
          <w:tcPr>
            <w:cnfStyle w:val="00000001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3.6</w:t>
            </w:r>
          </w:p>
        </w:tc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Конституционные принципы (основы) национальной политики в Российской Федерации</w:t>
            </w:r>
          </w:p>
        </w:tc>
        <w:tc>
          <w:tcPr>
            <w:cnfStyle w:val="00000010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3.7</w:t>
            </w:r>
          </w:p>
        </w:tc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Социальный конфликт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3.8</w:t>
            </w:r>
          </w:p>
        </w:tc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Виды социальных норм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3.9</w:t>
            </w:r>
          </w:p>
        </w:tc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Социальный контроль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3.10</w:t>
            </w:r>
          </w:p>
        </w:tc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Семья и брак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3.11</w:t>
            </w:r>
          </w:p>
        </w:tc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Отклоняющееся поведение и его типы</w:t>
            </w:r>
          </w:p>
        </w:tc>
        <w:tc>
          <w:tcPr>
            <w:cnfStyle w:val="00000001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3.12</w:t>
            </w:r>
          </w:p>
        </w:tc>
        <w:tc>
          <w:tcPr>
            <w:cnfStyle w:val="00000010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Социальная роль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3.13</w:t>
            </w:r>
          </w:p>
        </w:tc>
        <w:tc>
          <w:tcPr>
            <w:cnfStyle w:val="000000010000"/>
            <w:shd w:val="clear" w:fill="cfe2f3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Социализация индивида</w:t>
            </w:r>
          </w:p>
        </w:tc>
        <w:tc>
          <w:tcPr>
            <w:cnfStyle w:val="00000001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360" w:hRule="atLeast"/>
        </w:trPr>
        <w:tc>
          <w:tcPr>
            <w:cnfStyle w:val="000000100000"/>
            <w:gridSpan w:val="2"/>
            <w:shd w:val="clear" w:fill="d9d2e9"/>
          </w:tcPr>
          <w:p>
            <w:pPr>
              <w:rPr>
                <w:rFonts w:ascii="Calibri" w:cs="Calibri" w:eastAsia="Calibri" w:hAnsi="Calibri"/>
                <w:b/>
                <w:sz w:val="22"/>
                <w:szCs w:val="22"/>
              </w:rPr>
            </w:pPr>
            <w:r>
              <w:rPr>
                <w:rFonts w:ascii="Calibri" w:cs="Calibri" w:eastAsia="Calibri" w:hAnsi="Calibri"/>
                <w:b/>
                <w:rtl w:val="off"/>
              </w:rPr>
              <w:t>ПОЛИТИКА</w:t>
            </w:r>
          </w:p>
          <w:p>
            <w:pPr>
              <w:rPr>
                <w:rFonts w:ascii="Calibri" w:cs="Calibri" w:eastAsia="Calibri" w:hAnsi="Calibri"/>
                <w:b/>
                <w:sz w:val="22"/>
                <w:szCs w:val="22"/>
              </w:rPr>
            </w:pPr>
            <w:r>
              <w:rPr>
                <w:rFonts w:ascii="Calibri" w:cs="Calibri" w:eastAsia="Calibri" w:hAnsi="Calibri"/>
                <w:b/>
              </w:rPr>
              <w:drawing xmlns:mc="http://schemas.openxmlformats.org/markup-compatibility/2006">
                <wp:inline distT="0" distB="0" distL="0" distR="0">
                  <wp:extent cx="1685925" cy="1689100"/>
                  <wp:effectExtent l="0" t="0" r="0" b="0"/>
                  <wp:docPr id="64" name="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100000"/>
            <w:shd w:val="clear" w:fill="d9d2e9"/>
          </w:tcPr>
          <w:p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</w:rPr>
              <w:drawing xmlns:mc="http://schemas.openxmlformats.org/markup-compatibility/2006">
                <wp:inline distT="0" distB="0" distL="0" distR="0">
                  <wp:extent cx="1814513" cy="1814513"/>
                  <wp:effectExtent l="0" t="0" r="0" b="0"/>
                  <wp:docPr id="65" name="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1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513" cy="181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20" w:hRule="atLeast"/>
        </w:trPr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4.1</w:t>
            </w:r>
          </w:p>
        </w:tc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Понятие власти</w:t>
            </w:r>
          </w:p>
        </w:tc>
        <w:tc>
          <w:tcPr>
            <w:cnfStyle w:val="00000001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4.2</w:t>
            </w:r>
          </w:p>
        </w:tc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Государство, его функции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4.3</w:t>
            </w:r>
          </w:p>
        </w:tc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 xml:space="preserve">Политическая система 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4.4</w:t>
            </w:r>
          </w:p>
        </w:tc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Типология политических режимов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4.5</w:t>
            </w:r>
          </w:p>
        </w:tc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Демократия, её основные ценности и признаки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4.6</w:t>
            </w:r>
          </w:p>
        </w:tc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Гражданское общество и государство + правовое государство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vMerge w:val="restart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4.7</w:t>
            </w:r>
          </w:p>
        </w:tc>
        <w:tc>
          <w:tcPr>
            <w:cnfStyle w:val="000000010000"/>
            <w:vMerge w:val="restart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Политическая элита</w:t>
            </w:r>
            <w:r>
              <w:rPr>
                <w:rFonts w:ascii="Calibri" w:cs="Calibri" w:eastAsia="Calibri" w:hAnsi="Calibri"/>
                <w:color w:val="000000"/>
                <w:sz w:val="22"/>
                <w:szCs w:val="22"/>
                <w:rtl w:val="off"/>
              </w:rPr>
              <w:t xml:space="preserve">+полит институты </w:t>
            </w:r>
          </w:p>
        </w:tc>
        <w:tc>
          <w:tcPr>
            <w:cnfStyle w:val="00000001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vMerge w:val="continue"/>
            <w:shd w:val="clear" w:fill="d9d2e9"/>
          </w:tcPr>
          <w:p>
            <w:pPr>
              <w:keepNext w:val="off"/>
              <w:keepLines w:val="off"/>
              <w:widowControl w:val="off"/>
              <w:pBdr>
                <w:top w:val="nil" w:sz="4" w:space="0"/>
                <w:left w:val="nil" w:sz="4" w:space="0"/>
                <w:bottom w:val="nil" w:sz="4" w:space="0"/>
                <w:right w:val="nil" w:sz="4" w:space="0"/>
                <w:between w:val="nil" w:sz="4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  <w:tc>
          <w:tcPr>
            <w:cnfStyle w:val="000000100000"/>
            <w:vMerge w:val="continue"/>
            <w:shd w:val="clear" w:fill="d9d2e9"/>
          </w:tcPr>
          <w:p>
            <w:pPr>
              <w:keepNext w:val="off"/>
              <w:keepLines w:val="off"/>
              <w:widowControl w:val="off"/>
              <w:pBdr>
                <w:top w:val="nil" w:sz="4" w:space="0"/>
                <w:left w:val="nil" w:sz="4" w:space="0"/>
                <w:bottom w:val="nil" w:sz="4" w:space="0"/>
                <w:right w:val="nil" w:sz="4" w:space="0"/>
                <w:between w:val="nil" w:sz="4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4.8</w:t>
            </w:r>
          </w:p>
        </w:tc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Политические партии и движения + идеологии</w:t>
            </w:r>
          </w:p>
        </w:tc>
        <w:tc>
          <w:tcPr>
            <w:cnfStyle w:val="00000001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4.9</w:t>
            </w:r>
          </w:p>
        </w:tc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Средства массовой информации в политической системе + политическая культура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4.10</w:t>
            </w:r>
          </w:p>
        </w:tc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Избирательная кампания в Российской Федерации</w:t>
            </w:r>
          </w:p>
        </w:tc>
        <w:tc>
          <w:tcPr>
            <w:cnfStyle w:val="00000001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4.11</w:t>
            </w:r>
          </w:p>
        </w:tc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Политический процесс</w:t>
            </w:r>
          </w:p>
        </w:tc>
        <w:tc>
          <w:tcPr>
            <w:cnfStyle w:val="00000010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  <w:u w:val="singl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4.12</w:t>
            </w:r>
          </w:p>
        </w:tc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Политическое участие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4.13</w:t>
            </w:r>
          </w:p>
        </w:tc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Политическое лидерство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4.14</w:t>
            </w:r>
          </w:p>
        </w:tc>
        <w:tc>
          <w:tcPr>
            <w:cnfStyle w:val="00000001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Органы государственной власти Российской Федерации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b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4.15</w:t>
            </w:r>
          </w:p>
        </w:tc>
        <w:tc>
          <w:tcPr>
            <w:cnfStyle w:val="000000100000"/>
            <w:shd w:val="clear" w:fill="d9d2e9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Федеративное устройство Российской Федерации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b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gridSpan w:val="2"/>
            <w:shd w:val="clear" w:fill="ead1dc"/>
          </w:tcPr>
          <w:p>
            <w:pPr>
              <w:rPr>
                <w:rFonts w:ascii="Calibri" w:cs="Calibri" w:eastAsia="Calibri" w:hAnsi="Calibri"/>
                <w:b/>
                <w:sz w:val="22"/>
                <w:szCs w:val="22"/>
              </w:rPr>
            </w:pPr>
            <w:r>
              <w:rPr>
                <w:rFonts w:ascii="Calibri" w:cs="Calibri" w:eastAsia="Calibri" w:hAnsi="Calibri"/>
                <w:b/>
                <w:rtl w:val="off"/>
              </w:rPr>
              <w:t>ПРАВО</w:t>
            </w:r>
            <w:r>
              <w:rPr>
                <w:rFonts w:ascii="Calibri" w:cs="Calibri" w:eastAsia="Calibri" w:hAnsi="Calibri"/>
                <w:b/>
              </w:rPr>
              <w:drawing xmlns:mc="http://schemas.openxmlformats.org/markup-compatibility/2006">
                <wp:inline distT="0" distB="0" distL="0" distR="0">
                  <wp:extent cx="1685925" cy="1689100"/>
                  <wp:effectExtent l="0" t="0" r="0" b="0"/>
                  <wp:docPr id="66" name="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10000"/>
            <w:shd w:val="clear" w:fill="ead1dc"/>
          </w:tcPr>
          <w:p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</w:rPr>
              <w:drawing xmlns:mc="http://schemas.openxmlformats.org/markup-compatibility/2006">
                <wp:inline distT="0" distB="0" distL="0" distR="0">
                  <wp:extent cx="2090738" cy="2090738"/>
                  <wp:effectExtent l="0" t="0" r="0" b="0"/>
                  <wp:docPr id="67" name="image1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738" cy="20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120" w:hRule="atLeast"/>
        </w:trPr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</w:t>
            </w:r>
          </w:p>
        </w:tc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Право в системе социальных норм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rPr>
                <w:rFonts w:ascii="Arial" w:cs="Arial" w:eastAsia="Arial" w:hAnsi="Arial"/>
                <w:color w:val="545454"/>
                <w:sz w:val="22"/>
                <w:szCs w:val="22"/>
                <w:highlight w:val="whit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5.2</w:t>
            </w:r>
          </w:p>
        </w:tc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Система российского права. Законотворческий процесс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5.3</w:t>
            </w:r>
          </w:p>
        </w:tc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Понятие и виды юридической ответственности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5.4</w:t>
            </w:r>
          </w:p>
        </w:tc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Конституция Российской Федерации. Основы конституционного строя Российской Федерации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5.5</w:t>
            </w:r>
          </w:p>
        </w:tc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Законодательство Российской Федерации о выборах</w:t>
            </w:r>
          </w:p>
        </w:tc>
        <w:tc>
          <w:tcPr>
            <w:cnfStyle w:val="00000010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5.6</w:t>
            </w:r>
          </w:p>
        </w:tc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Субъекты гражданского права.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5.7</w:t>
            </w:r>
          </w:p>
        </w:tc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Организационно-правовые формы и правовой режим предпринимательской деятельности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5.8</w:t>
            </w:r>
          </w:p>
        </w:tc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Имущественные и неимущественные права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5.9</w:t>
            </w:r>
          </w:p>
        </w:tc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Порядок приёма на работу. Порядок заключения и расторжения трудового договора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5.10</w:t>
            </w:r>
          </w:p>
        </w:tc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Правовое регулирование отношений супругов. Порядок и условия заключения и расторжения брака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b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5.11</w:t>
            </w:r>
          </w:p>
        </w:tc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Особенности административной юрисдикции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Arial" w:cs="Arial" w:eastAsia="Arial" w:hAnsi="Arial"/>
                <w:color w:val="222222"/>
                <w:sz w:val="20"/>
                <w:szCs w:val="20"/>
                <w:highlight w:val="white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5.12</w:t>
            </w:r>
          </w:p>
        </w:tc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Право на благоприятную окружающую среду и способы его защиты</w:t>
            </w:r>
          </w:p>
        </w:tc>
        <w:tc>
          <w:tcPr>
            <w:cnfStyle w:val="00000001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5.13</w:t>
            </w:r>
          </w:p>
        </w:tc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Международное право (международная защита прав человека в условиях мирного и военного времени)</w:t>
            </w:r>
          </w:p>
        </w:tc>
        <w:tc>
          <w:tcPr>
            <w:cnfStyle w:val="000000100000"/>
            <w:shd w:val="clear" w:fill="ffffff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5.14</w:t>
            </w:r>
          </w:p>
        </w:tc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Споры, порядок их рассмотрения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5.15</w:t>
            </w:r>
          </w:p>
        </w:tc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Основные правила и принципы гражданского процесса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5.16</w:t>
            </w:r>
          </w:p>
        </w:tc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Особенности уголовного процесса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5.17</w:t>
            </w:r>
          </w:p>
        </w:tc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Гражданство Российской Федерации</w:t>
            </w:r>
          </w:p>
        </w:tc>
        <w:tc>
          <w:tcPr>
            <w:cnfStyle w:val="000000100000"/>
            <w:shd w:val="clear" w:fill="ffffff"/>
          </w:tcPr>
          <w:p>
            <w:pPr>
              <w:spacing w:line="285" w:lineRule="auto"/>
              <w:rPr>
                <w:rFonts w:ascii="Calibri" w:cs="Calibri" w:eastAsia="Calibri" w:hAnsi="Calibri"/>
                <w:b/>
                <w:sz w:val="22"/>
                <w:szCs w:val="22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5.18</w:t>
            </w:r>
          </w:p>
        </w:tc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Воинская обязанность, альтернативная гражданская служба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5.19</w:t>
            </w:r>
          </w:p>
        </w:tc>
        <w:tc>
          <w:tcPr>
            <w:cnfStyle w:val="00000010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Права и обязанности налогоплательщика</w:t>
            </w:r>
          </w:p>
        </w:tc>
        <w:tc>
          <w:tcPr>
            <w:cnfStyle w:val="000000100000"/>
            <w:shd w:val="clear" w:fill="ffffff"/>
          </w:tcPr>
          <w:p>
            <w:pPr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  <w:tr>
        <w:trPr>
          <w:trHeight w:val="1120" w:hRule="atLeast"/>
        </w:trPr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5.20</w:t>
            </w:r>
          </w:p>
        </w:tc>
        <w:tc>
          <w:tcPr>
            <w:cnfStyle w:val="000000010000"/>
            <w:shd w:val="clear" w:fill="ead1dc"/>
          </w:tcPr>
          <w:p>
            <w:pPr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rtl w:val="off"/>
              </w:rPr>
              <w:t>Правоохранительные органы. Судебная система</w:t>
            </w:r>
          </w:p>
        </w:tc>
        <w:tc>
          <w:tcPr>
            <w:cnfStyle w:val="000000010000"/>
            <w:shd w:val="clear" w:fill="ffffff"/>
          </w:tcPr>
          <w:p>
            <w:pPr>
              <w:spacing w:line="285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u w:val="none"/>
              </w:rPr>
            </w:pPr>
          </w:p>
        </w:tc>
      </w:tr>
    </w:tbl>
    <w:p>
      <w:pPr>
        <w:rPr>
          <w:rFonts w:ascii="Arial" w:cs="Arial" w:eastAsia="Arial" w:hAnsi="Arial"/>
          <w:sz w:val="22"/>
          <w:szCs w:val="22"/>
        </w:rPr>
      </w:pPr>
    </w:p>
    <w:sectPr>
      <w:pgSz w:w="11909" w:h="16834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/>
  <w:font w:name="Calibri"/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montserrat">
    <w:charset w:val="00"/>
  </w:font>
  <w:font w:name="Segoe UI">
    <w:charset w:val="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table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uiPriority w:val="34"/>
    <w:qFormat w:val="on"/>
    <w:pPr>
      <w:ind w:left="720"/>
      <w:contextualSpacing w:val="on"/>
    </w:p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000ff" w:themeColor="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default="1" w:styleId="Normal">
    <w:name w:val="Normal"/>
    <w:uiPriority w:val="99"/>
  </w:style>
  <w:style w:type="paragraph" w:styleId="Heading1">
    <w:name w:val="Heading 1"/>
    <w:basedOn w:val="Normal"/>
    <w:next w:val="Normal"/>
    <w:uiPriority w:val="99"/>
    <w:pPr>
      <w:keepNext w:val="on"/>
      <w:keepLines w:val="on"/>
      <w:spacing w:before="400" w:after="120"/>
    </w:pPr>
    <w:rPr>
      <w:sz w:val="40"/>
      <w:szCs w:val="40"/>
    </w:rPr>
  </w:style>
  <w:style w:type="paragraph" w:styleId="Heading2">
    <w:name w:val="Heading 2"/>
    <w:basedOn w:val="Normal"/>
    <w:next w:val="Normal"/>
    <w:uiPriority w:val="99"/>
    <w:pPr>
      <w:keepNext w:val="on"/>
      <w:keepLines w:val="on"/>
      <w:spacing w:before="360" w:after="120"/>
    </w:pPr>
    <w:rPr>
      <w:sz w:val="32"/>
      <w:szCs w:val="32"/>
    </w:rPr>
  </w:style>
  <w:style w:type="paragraph" w:styleId="Heading3">
    <w:name w:val="Heading 3"/>
    <w:basedOn w:val="Normal"/>
    <w:next w:val="Normal"/>
    <w:uiPriority w:val="99"/>
    <w:pPr>
      <w:keepNext w:val="on"/>
      <w:keepLines w:val="on"/>
      <w:spacing w:before="320" w:after="80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9"/>
    <w:pPr>
      <w:keepNext w:val="on"/>
      <w:keepLines w:val="on"/>
      <w:spacing w:before="280" w:after="80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9"/>
    <w:pPr>
      <w:keepNext w:val="on"/>
      <w:keepLines w:val="on"/>
      <w:spacing w:before="240" w:after="80"/>
    </w:pPr>
    <w:rPr>
      <w:color w:val="666666"/>
    </w:rPr>
  </w:style>
  <w:style w:type="paragraph" w:styleId="Heading6">
    <w:name w:val="Heading 6"/>
    <w:basedOn w:val="Normal"/>
    <w:next w:val="Normal"/>
    <w:uiPriority w:val="99"/>
    <w:pPr>
      <w:keepNext w:val="on"/>
      <w:keepLines w:val="on"/>
      <w:spacing w:before="240" w:after="80"/>
    </w:pPr>
    <w:rPr>
      <w:i/>
      <w:color w:val="666666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numbering" w:default="1" w:styleId="NoList">
    <w:name w:val="No List"/>
    <w:uiPriority w:val="99"/>
    <w:semiHidden w:val="on"/>
    <w:unhideWhenUsed w:val="on"/>
  </w:style>
  <w:style w:type="table" w:customStyle="1" w:styleId="TableNormal">
    <w:name w:val="Table Normal"/>
    <w:uiPriority w:val="9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99"/>
    <w:pPr>
      <w:keepNext w:val="on"/>
      <w:keepLines w:val="on"/>
      <w:spacing w:after="60"/>
    </w:pPr>
    <w:rPr>
      <w:sz w:val="52"/>
      <w:szCs w:val="52"/>
    </w:rPr>
  </w:style>
  <w:style w:type="table" w:customStyle="1" w:styleId="A5">
    <w:name w:val="A5"/>
    <w:basedOn w:val="TableNormal"/>
    <w:uiPriority w:val="99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uiPriority w:val="99"/>
    <w:pPr>
      <w:keepNext w:val="on"/>
      <w:keepLines w:val="on"/>
      <w:widowControl w:val="on"/>
      <w:pBdr>
        <w:top w:val="nil" w:sz="4" w:space="0"/>
        <w:left w:val="nil" w:sz="4" w:space="0"/>
        <w:bottom w:val="nil" w:sz="4" w:space="0"/>
        <w:right w:val="nil" w:sz="4" w:space="0"/>
        <w:between w:val="nil" w:sz="4" w:space="0"/>
      </w:pBdr>
      <w:shd w:val="clear" w:fill="auto"/>
      <w:spacing w:before="0" w:after="320" w:line="276" w:lineRule="auto"/>
      <w:ind w:left="0" w:right="0" w:firstLine="0"/>
      <w:jc w:val="left"/>
    </w:pPr>
    <w:rPr>
      <w:rFonts w:ascii="Arial" w:cs="Arial" w:eastAsia="Arial" w:hAnsi="Arial"/>
      <w:b w:val="off"/>
      <w:i w:val="off"/>
      <w:smallCaps w:val="off"/>
      <w:color w:val="666666"/>
      <w:sz w:val="30"/>
      <w:szCs w:val="30"/>
      <w:u w:val="none"/>
      <w:shd w:val="clear" w:fill="auto"/>
      <w:vertAlign w:val="baseline"/>
    </w:rPr>
  </w:style>
  <w:style w:type="table" w:styleId="Table1">
    <w:name w:val="Table1"/>
    <w:basedOn w:val="TableNormal"/>
    <w:uiPriority w:val="99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vR4eNApp+sjMd+6E/rY+Qus/bw==">AMUW2mUB40RMYpxNnJf4BWCYLLvp+LA42Spewcdt7k5NIiDUN05qaSmhahLblKMAyZWMgl+s6Laxh/8W8MzQCeL+qVKvVr9rNuaUn2OFoJu7oNbRf+OQW+bHlR0tQMF3rh1JBHKU65gSJdfvqgas+SHk1YNS+RphRA==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Author</cp:lastModifiedBy>
</cp:coreProperties>
</file>