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2A4A"/>
          <w:sz w:val="72"/>
        </w:rPr>
        <w:t>LACHESIS</w:t>
      </w:r>
    </w:p>
    <w:p>
      <w:pPr>
        <w:jc w:val="center"/>
      </w:pPr>
      <w:r>
        <w:rPr>
          <w:b/>
          <w:color w:val="0D7E8A"/>
          <w:sz w:val="44"/>
        </w:rPr>
        <w:t>Credit Risk Analysis Tab</w:t>
      </w:r>
    </w:p>
    <w:p>
      <w:pPr>
        <w:jc w:val="center"/>
      </w:pPr>
      <w:r>
        <w:rPr>
          <w:color w:val="606C7C"/>
          <w:sz w:val="28"/>
        </w:rPr>
        <w:t>Technical Reference Document</w:t>
      </w:r>
    </w:p>
    <w:p/>
    <w:p>
      <w:pPr>
        <w:jc w:val="center"/>
      </w:pPr>
      <w:r>
        <w:rPr>
          <w:i/>
          <w:color w:val="606C7C"/>
          <w:sz w:val="22"/>
        </w:rPr>
        <w:t>Quantum-Enhanced Financial Analytics &amp; Foresight Platform</w:t>
      </w:r>
    </w:p>
    <w:p/>
    <w:p>
      <w:pPr>
        <w:jc w:val="center"/>
      </w:pPr>
      <w:r>
        <w:rPr>
          <w:color w:val="606C7C"/>
          <w:sz w:val="20"/>
        </w:rPr>
        <w:t>April 2026  ·  Version 1.0  ·  Confidential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A"/>
        </w:rPr>
        <w:t>1. Overview</w:t>
      </w:r>
    </w:p>
    <w:p>
      <w:pPr>
        <w:spacing w:after="120"/>
      </w:pPr>
      <w:r>
        <w:rPr>
          <w:color w:val="1A1A1A"/>
          <w:sz w:val="22"/>
        </w:rPr>
        <w:t>The Credit Risk Analysis tab is a quantum-hybrid feature within the Lachesis platform that estimates the probability of default (PD), loss given default (LGD), and portfolio-level risk measures — Expected Loss (EL), Value-at-Risk (VaR), and Conditional Value-at-Risk (CVaR) — for a two-borrower credit portfolio. It is the first tab in Lachesis to use a full Gaussian Conditional Independence (GCI) quantum circuit combined with Iterative Quantum Amplitude Estimation (IQAE), with an automatic fallback to vectorized Monte Carlo simulation when the quantum path is unavailable.</w:t>
      </w:r>
    </w:p>
    <w:p>
      <w:pPr>
        <w:spacing w:after="120"/>
      </w:pPr>
      <w:r>
        <w:rPr>
          <w:color w:val="1A1A1A"/>
          <w:sz w:val="22"/>
        </w:rPr>
        <w:t>The two pre-loaded borrowers represent real publicly-traded companies across distinct credit sectors: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Salesforce, Inc. (CRM)  —  S&amp;P rating A+  ·  SaaS / Technology sector  ·  1-year PD ≈ 0.030%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Macy's, Inc. (M)  —  S&amp;P rating BB+  ·  Retail sector  ·  1-year PD ≈ 0.500%</w:t>
      </w:r>
    </w:p>
    <w:p>
      <w:pPr>
        <w:spacing w:after="120"/>
      </w:pPr>
      <w:r>
        <w:rPr>
          <w:color w:val="1A1A1A"/>
          <w:sz w:val="22"/>
        </w:rPr>
        <w:t>All default probability and asset correlation parameters are sourced from publicly available S&amp;P Global and Basel II regulatory publications (see Section 7, References). No live market data feed is required; the parameters are research-grade constants that are updated at most once per year.</w:t>
      </w:r>
    </w:p>
    <w:p>
      <w:pPr>
        <w:pStyle w:val="Heading1"/>
        <w:spacing w:before="280" w:after="80"/>
      </w:pPr>
      <w:r>
        <w:rPr>
          <w:b/>
          <w:color w:val="1B2A4A"/>
        </w:rPr>
        <w:t>2. Theoretical Background</w:t>
      </w:r>
    </w:p>
    <w:p>
      <w:pPr>
        <w:pStyle w:val="Heading2"/>
        <w:spacing w:before="160" w:after="80"/>
      </w:pPr>
      <w:r>
        <w:rPr>
          <w:b/>
          <w:color w:val="1B2A4A"/>
        </w:rPr>
        <w:t>2.1  The Gaussian Conditional Independence (GCI) Model</w:t>
      </w:r>
    </w:p>
    <w:p>
      <w:pPr>
        <w:spacing w:after="120"/>
      </w:pPr>
      <w:r>
        <w:rPr>
          <w:color w:val="1A1A1A"/>
          <w:sz w:val="22"/>
        </w:rPr>
        <w:t>The GCI model is a one-factor Gaussian copula widely used in Basel II Internal Ratings-Based (IRB) credit risk capital calculations. Each obligor k has an unconditional probability of default p_k^0. Conditional on a common systemic factor Z ~ N(0,1), the default probability becomes: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B2A4A"/>
          <w:sz w:val="24"/>
        </w:rPr>
        <w:t>p_k(Z) = Φ( (Φ⁻¹(p_k⁰) − √ρ_k · Z) / √(1 − ρ_k) )</w:t>
      </w:r>
    </w:p>
    <w:p>
      <w:pPr>
        <w:spacing w:after="120"/>
      </w:pPr>
      <w:r>
        <w:rPr>
          <w:color w:val="1A1A1A"/>
          <w:sz w:val="22"/>
        </w:rPr>
        <w:t>where Φ is the standard normal CDF and ρ_k ∈ [0, 1] is the asset correlation (systemic loading) for obligor k. Higher ρ means the borrower's default risk is more sensitive to macroeconomic conditions. Basel II calibrates ρ between 0.12 and 0.24 for retail exposures and up to 0.30 for large corporates. Lachesis uses ρ = 0.28 for both borrowers, consistent with large-firm IRB calibration.</w:t>
      </w:r>
    </w:p>
    <w:p>
      <w:pPr>
        <w:pStyle w:val="Heading2"/>
        <w:spacing w:before="160" w:after="80"/>
      </w:pPr>
      <w:r>
        <w:rPr>
          <w:b/>
          <w:color w:val="1B2A4A"/>
        </w:rPr>
        <w:t>2.2  Portfolio Loss Distribution</w:t>
      </w:r>
    </w:p>
    <w:p>
      <w:pPr>
        <w:spacing w:after="120"/>
      </w:pPr>
      <w:r>
        <w:rPr>
          <w:color w:val="1A1A1A"/>
          <w:sz w:val="22"/>
        </w:rPr>
        <w:t>The portfolio loss is the dollar-weighted sum of individual defaults: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B2A4A"/>
          <w:sz w:val="24"/>
        </w:rPr>
        <w:t>L = Σ_k  λ_k · LGD_k · X_k(Z)</w:t>
      </w:r>
    </w:p>
    <w:p>
      <w:pPr>
        <w:spacing w:after="120"/>
      </w:pPr>
      <w:r>
        <w:rPr>
          <w:color w:val="1A1A1A"/>
          <w:sz w:val="22"/>
        </w:rPr>
        <w:t>where λ_k is the exposure at default (loan notional), LGD_k is the loss given default fraction, and X_k(Z) ~ Bernoulli(p_k(Z)) is the default indicator for obligor k given systemic factor Z. The full loss distribution P(L ≤ ℓ) is obtained by marginalising over Z, which is approximated by discretising Z over [−z_max, +z_max] with n_z grid points in the quantum circuit.</w:t>
      </w:r>
    </w:p>
    <w:p>
      <w:pPr>
        <w:pStyle w:val="Heading2"/>
        <w:spacing w:before="160" w:after="80"/>
      </w:pPr>
      <w:r>
        <w:rPr>
          <w:b/>
          <w:color w:val="1B2A4A"/>
        </w:rPr>
        <w:t>2.3  Risk Measures</w:t>
      </w:r>
    </w:p>
    <w:p>
      <w:pPr>
        <w:spacing w:after="120"/>
      </w:pPr>
      <w:r>
        <w:rPr>
          <w:color w:val="1A1A1A"/>
          <w:sz w:val="22"/>
        </w:rPr>
        <w:t>Three risk measures are reported for both the Monte Carlo and quantum paths: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360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360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Expected Loss (EL)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E[L]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Mean of the loss distribution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Value-at-Risk (VaRα)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inf { ℓ : P(L &gt; ℓ) ≤ 1−α }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Quantile of loss at confidence α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CVaR / Expected Shortfall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E[L | L ≥ VaRα]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Mean loss in the tail beyond VaR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1B2A4A"/>
        </w:rPr>
        <w:t>2.4  Stress Testing</w:t>
      </w:r>
    </w:p>
    <w:p>
      <w:pPr>
        <w:spacing w:after="120"/>
      </w:pPr>
      <w:r>
        <w:rPr>
          <w:color w:val="1A1A1A"/>
          <w:sz w:val="22"/>
        </w:rPr>
        <w:t>A stress multiplier s ∈ [0.5, 3.0] uniformly scales each obligor's adjusted PD before the circuit is built: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B2A4A"/>
          <w:sz w:val="24"/>
        </w:rPr>
        <w:t>p_k^adj = min(s · p_k^0, 1.0)</w:t>
      </w:r>
    </w:p>
    <w:p>
      <w:pPr>
        <w:spacing w:after="120"/>
      </w:pPr>
      <w:r>
        <w:rPr>
          <w:color w:val="1A1A1A"/>
          <w:sz w:val="22"/>
        </w:rPr>
        <w:t>Setting s = 2.0 simulates a moderate recession scenario; s = 3.0 approximates a severe stress event. The horizon parameter h rescales the base annual PD via: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B2A4A"/>
          <w:sz w:val="24"/>
        </w:rPr>
        <w:t>p_k^h = 1 − (1 − p_k^adj)^h</w:t>
      </w:r>
    </w:p>
    <w:p>
      <w:pPr>
        <w:pStyle w:val="Heading1"/>
        <w:spacing w:before="280" w:after="80"/>
      </w:pPr>
      <w:r>
        <w:rPr>
          <w:b/>
          <w:color w:val="1B2A4A"/>
        </w:rPr>
        <w:t>3. Quantum Algorithm</w:t>
      </w:r>
    </w:p>
    <w:p>
      <w:pPr>
        <w:pStyle w:val="Heading2"/>
        <w:spacing w:before="160" w:after="80"/>
      </w:pPr>
      <w:r>
        <w:rPr>
          <w:b/>
          <w:color w:val="1B2A4A"/>
        </w:rPr>
        <w:t>3.1  Circuit Architecture</w:t>
      </w:r>
    </w:p>
    <w:p>
      <w:pPr>
        <w:spacing w:after="120"/>
      </w:pPr>
      <w:r>
        <w:rPr>
          <w:color w:val="1A1A1A"/>
          <w:sz w:val="22"/>
        </w:rPr>
        <w:t>The quantum path constructs a composite circuit with four functional blocks: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GCI State Preparation  —  GaussianConditionalIndependenceModel encodes the joint distribution of the systemic factor Z and the K default indicators X_1, …, X_K as amplitudes in an (n_z + K)-qubit register.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WeightedAdder  —  Computes the integer portfolio loss L_int = Σ_k w_k · X_k where w_k are integer-scaled LGD weights. Requires n_sum + n_carry ancilla qubits.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LinearAmplitudeFunction  —  Rotates an objective qubit by an angle proportional to L_int, encoding E[L_int] as a trigonometric amplitude.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Objective Qubit  —  A single ancilla qubit whose |1⟩ amplitude, when estimated via IQAE, yields the expected loss.</w:t>
      </w:r>
    </w:p>
    <w:p>
      <w:pPr>
        <w:spacing w:after="120"/>
      </w:pPr>
      <w:r>
        <w:rPr>
          <w:color w:val="1A1A1A"/>
          <w:sz w:val="22"/>
        </w:rPr>
        <w:t>Total qubit count: n_z + K + n_sum + n_carry + 1. For the default two-borrower portfolio with n_z = 2 this is typically 8–10 qubits, well within AerSimulator capacity.</w:t>
      </w:r>
    </w:p>
    <w:p>
      <w:pPr>
        <w:pStyle w:val="Heading2"/>
        <w:spacing w:before="160" w:after="80"/>
      </w:pPr>
      <w:r>
        <w:rPr>
          <w:b/>
          <w:color w:val="1B2A4A"/>
        </w:rPr>
        <w:t>3.2  Iterative Quantum Amplitude Estimation (IQAE)</w:t>
      </w:r>
    </w:p>
    <w:p>
      <w:pPr>
        <w:spacing w:after="120"/>
      </w:pPr>
      <w:r>
        <w:rPr>
          <w:color w:val="1A1A1A"/>
          <w:sz w:val="22"/>
        </w:rPr>
        <w:t>IQAE (Grinko et al., 2021) estimates the amplitude a = sin²(θ) of the objective qubit without requiring a quantum phase estimation subroutine. The algorithm iteratively applies the Grover operator Q = AS₀A†Sχ and refines a confidence interval for a using maximum likelihood estimation over measurement outcomes. The key parameters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88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32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epsilon (ε)</w:t>
            </w:r>
          </w:p>
        </w:tc>
        <w:tc>
          <w:tcPr>
            <w:tcW w:type="dxa" w:w="2880"/>
            <w:shd w:val="clear" w:color="auto" w:fill="F7F9FC"/>
          </w:tcPr>
          <w:p>
            <w:r>
              <w:rPr>
                <w:color w:val="1A1A1A"/>
                <w:sz w:val="20"/>
              </w:rPr>
              <w:t>0.05</w:t>
            </w:r>
          </w:p>
        </w:tc>
        <w:tc>
          <w:tcPr>
            <w:tcW w:type="dxa" w:w="4320"/>
            <w:shd w:val="clear" w:color="auto" w:fill="F7F9FC"/>
          </w:tcPr>
          <w:p>
            <w:r>
              <w:rPr>
                <w:color w:val="1A1A1A"/>
                <w:sz w:val="20"/>
              </w:rPr>
              <w:t>Half-width of the final confidence interval for 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alpha (α)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20"/>
              </w:rPr>
              <w:t>0.05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20"/>
              </w:rPr>
              <w:t>Failure probability (the CI holds with probability 1−α)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shots</w:t>
            </w:r>
          </w:p>
        </w:tc>
        <w:tc>
          <w:tcPr>
            <w:tcW w:type="dxa" w:w="2880"/>
            <w:shd w:val="clear" w:color="auto" w:fill="F7F9FC"/>
          </w:tcPr>
          <w:p>
            <w:r>
              <w:rPr>
                <w:color w:val="1A1A1A"/>
                <w:sz w:val="20"/>
              </w:rPr>
              <w:t>100–1000</w:t>
            </w:r>
          </w:p>
        </w:tc>
        <w:tc>
          <w:tcPr>
            <w:tcW w:type="dxa" w:w="4320"/>
            <w:shd w:val="clear" w:color="auto" w:fill="F7F9FC"/>
          </w:tcPr>
          <w:p>
            <w:r>
              <w:rPr>
                <w:color w:val="1A1A1A"/>
                <w:sz w:val="20"/>
              </w:rPr>
              <w:t>Circuit executions per IQAE iteration (user-configurable)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Simulator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20"/>
              </w:rPr>
              <w:t>AerSimulator (statevector)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20"/>
              </w:rPr>
              <w:t>Local Qiskit Aer backend</w:t>
            </w:r>
          </w:p>
        </w:tc>
      </w:tr>
    </w:tbl>
    <w:p/>
    <w:p>
      <w:pPr>
        <w:spacing w:after="120"/>
      </w:pPr>
      <w:r>
        <w:rPr>
          <w:color w:val="1A1A1A"/>
          <w:sz w:val="22"/>
        </w:rPr>
        <w:t>The final amplitude estimate ã is mapped back to expected loss via: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B2A4A"/>
          <w:sz w:val="24"/>
        </w:rPr>
        <w:t>E[L] ≈ (ã − offset) / slope  ×  lgd_scale</w:t>
      </w:r>
    </w:p>
    <w:p>
      <w:pPr>
        <w:spacing w:after="120"/>
      </w:pPr>
      <w:r>
        <w:rPr>
          <w:color w:val="1A1A1A"/>
          <w:sz w:val="22"/>
        </w:rPr>
        <w:t>where offset and slope are the coefficients of the LinearAmplitudeFunction, and lgd_scale converts integer LGD units to USD.</w:t>
      </w:r>
    </w:p>
    <w:p>
      <w:pPr>
        <w:pStyle w:val="Heading2"/>
        <w:spacing w:before="160" w:after="80"/>
      </w:pPr>
      <w:r>
        <w:rPr>
          <w:b/>
          <w:color w:val="1B2A4A"/>
        </w:rPr>
        <w:t>3.3  CVaR Estimation</w:t>
      </w:r>
    </w:p>
    <w:p>
      <w:pPr>
        <w:spacing w:after="120"/>
      </w:pPr>
      <w:r>
        <w:rPr>
          <w:color w:val="1A1A1A"/>
          <w:sz w:val="22"/>
        </w:rPr>
        <w:t>CVaR is obtained by a second IQAE call with a threshold-truncated objective function that encodes E[L · 1(L ≥ VaR_α)] / P(L ≥ VaR_α). The threshold qubit index is derived from the VaR percentile of the loss register.</w:t>
      </w:r>
    </w:p>
    <w:p>
      <w:pPr>
        <w:pStyle w:val="Heading2"/>
        <w:spacing w:before="160" w:after="80"/>
      </w:pPr>
      <w:r>
        <w:rPr>
          <w:b/>
          <w:color w:val="1B2A4A"/>
        </w:rPr>
        <w:t>3.4  Fallback to Monte Carlo</w:t>
      </w:r>
    </w:p>
    <w:p>
      <w:pPr>
        <w:spacing w:after="120"/>
      </w:pPr>
      <w:r>
        <w:rPr>
          <w:color w:val="1A1A1A"/>
          <w:sz w:val="22"/>
        </w:rPr>
        <w:t>If the quantum libraries (qiskit-finance, qiskit-aer) are unavailable, or if any circuit exception is raised, the tab automatically falls back to a fully vectorised Monte Carlo simulation using NumPy and SciPy:</w:t>
      </w:r>
    </w:p>
    <w:p>
      <w:pPr>
        <w:spacing w:before="80" w:after="80"/>
        <w:ind w:left="576"/>
        <w:shd w:val="clear" w:color="auto" w:fill="F0F4F8"/>
      </w:pPr>
      <w:r>
        <w:rPr>
          <w:rFonts w:ascii="Courier New" w:hAnsi="Courier New"/>
          <w:color w:val="1A1A1A"/>
          <w:sz w:val="18"/>
        </w:rPr>
        <w:t>Z_samples = np.random.standard_normal(N_PATHS=60_000)</w:t>
      </w:r>
    </w:p>
    <w:p>
      <w:pPr>
        <w:spacing w:before="80" w:after="80"/>
        <w:ind w:left="576"/>
        <w:shd w:val="clear" w:color="auto" w:fill="F0F4F8"/>
      </w:pPr>
      <w:r>
        <w:rPr>
          <w:rFonts w:ascii="Courier New" w:hAnsi="Courier New"/>
          <w:color w:val="1A1A1A"/>
          <w:sz w:val="18"/>
        </w:rPr>
        <w:t>p_k_given_Z = norm.cdf((Φ⁻¹(p_k) − √ρ_k · Z) / √(1−ρ_k))</w:t>
      </w:r>
    </w:p>
    <w:p>
      <w:pPr>
        <w:spacing w:before="80" w:after="80"/>
        <w:ind w:left="576"/>
        <w:shd w:val="clear" w:color="auto" w:fill="F0F4F8"/>
      </w:pPr>
      <w:r>
        <w:rPr>
          <w:rFonts w:ascii="Courier New" w:hAnsi="Courier New"/>
          <w:color w:val="1A1A1A"/>
          <w:sz w:val="18"/>
        </w:rPr>
        <w:t>X_k = (uniform_samples &lt; p_k_given_Z).astype(float)</w:t>
      </w:r>
    </w:p>
    <w:p>
      <w:pPr>
        <w:spacing w:before="80" w:after="80"/>
        <w:ind w:left="576"/>
        <w:shd w:val="clear" w:color="auto" w:fill="F0F4F8"/>
      </w:pPr>
      <w:r>
        <w:rPr>
          <w:rFonts w:ascii="Courier New" w:hAnsi="Courier New"/>
          <w:color w:val="1A1A1A"/>
          <w:sz w:val="18"/>
        </w:rPr>
        <w:t>L = sum_k(λ_k · LGD_k · X_k)  → empirical CDF → VaR, CVaR</w:t>
      </w:r>
    </w:p>
    <w:p>
      <w:pPr>
        <w:spacing w:after="120"/>
      </w:pPr>
      <w:r>
        <w:rPr>
          <w:color w:val="1A1A1A"/>
          <w:sz w:val="22"/>
        </w:rPr>
        <w:t>60,000 paths provide VaR₉₅ standard error &lt; $200 for the default portfolio and run in &lt; 0.5 s on a single CPU core.</w:t>
      </w:r>
    </w:p>
    <w:p>
      <w:pPr>
        <w:pStyle w:val="Heading1"/>
        <w:spacing w:before="280" w:after="80"/>
      </w:pPr>
      <w:r>
        <w:rPr>
          <w:b/>
          <w:color w:val="1B2A4A"/>
        </w:rPr>
        <w:t>4. Input Parameters &amp; User Controls</w:t>
      </w:r>
    </w:p>
    <w:p>
      <w:pPr>
        <w:pStyle w:val="Heading2"/>
        <w:spacing w:before="160" w:after="80"/>
      </w:pPr>
      <w:r>
        <w:rPr>
          <w:b/>
          <w:color w:val="1B2A4A"/>
        </w:rPr>
        <w:t>4.1  Per-Obligor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Control Type</w:t>
            </w:r>
          </w:p>
        </w:tc>
        <w:tc>
          <w:tcPr>
            <w:tcW w:type="dxa" w:w="504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Name / Ticker</w:t>
            </w:r>
          </w:p>
        </w:tc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Text</w:t>
            </w:r>
          </w:p>
        </w:tc>
        <w:tc>
          <w:tcPr>
            <w:tcW w:type="dxa" w:w="5040"/>
            <w:shd w:val="clear" w:color="auto" w:fill="F7F9FC"/>
          </w:tcPr>
          <w:p>
            <w:r>
              <w:rPr>
                <w:color w:val="1A1A1A"/>
                <w:sz w:val="20"/>
              </w:rPr>
              <w:t>Display label and exchange symbol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Sector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Text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1A"/>
                <w:sz w:val="20"/>
              </w:rPr>
              <w:t>Used for default sector-level ρ and LGD lookup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S&amp;P Rating</w:t>
            </w:r>
          </w:p>
        </w:tc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Dropdown</w:t>
            </w:r>
          </w:p>
        </w:tc>
        <w:tc>
          <w:tcPr>
            <w:tcW w:type="dxa" w:w="5040"/>
            <w:shd w:val="clear" w:color="auto" w:fill="F7F9FC"/>
          </w:tcPr>
          <w:p>
            <w:r>
              <w:rPr>
                <w:color w:val="1A1A1A"/>
                <w:sz w:val="20"/>
              </w:rPr>
              <w:t>AAA → D; maps to 1-year PD via S&amp;P 2025 Default Study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Loan Exposure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Numeric (USD)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1A"/>
                <w:sz w:val="20"/>
              </w:rPr>
              <w:t>Notional amount at risk (λ_k); default $100,000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FICO Score</w:t>
            </w:r>
          </w:p>
        </w:tc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Display badge</w:t>
            </w:r>
          </w:p>
        </w:tc>
        <w:tc>
          <w:tcPr>
            <w:tcW w:type="dxa" w:w="5040"/>
            <w:shd w:val="clear" w:color="auto" w:fill="F7F9FC"/>
          </w:tcPr>
          <w:p>
            <w:r>
              <w:rPr>
                <w:color w:val="1A1A1A"/>
                <w:sz w:val="20"/>
              </w:rPr>
              <w:t>Informational; used for internal PD cross-check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pd_override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API-level only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1A"/>
                <w:sz w:val="20"/>
              </w:rPr>
              <w:t>Overrides the rating-derived PD directly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lgd_override</w:t>
            </w:r>
          </w:p>
        </w:tc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API-level only</w:t>
            </w:r>
          </w:p>
        </w:tc>
        <w:tc>
          <w:tcPr>
            <w:tcW w:type="dxa" w:w="5040"/>
            <w:shd w:val="clear" w:color="auto" w:fill="F7F9FC"/>
          </w:tcPr>
          <w:p>
            <w:r>
              <w:rPr>
                <w:color w:val="1A1A1A"/>
                <w:sz w:val="20"/>
              </w:rPr>
              <w:t>Overrides the sector-derived LGD fraction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rho_override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API-level only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color w:val="1A1A1A"/>
                <w:sz w:val="20"/>
              </w:rPr>
              <w:t>Overrides the sector-derived asset correlation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1B2A4A"/>
        </w:rPr>
        <w:t>4.2  Portfolio-Level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16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UI Control</w:t>
            </w:r>
          </w:p>
        </w:tc>
        <w:tc>
          <w:tcPr>
            <w:tcW w:type="dxa" w:w="144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60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Confidence Level (α)</w:t>
            </w:r>
          </w:p>
        </w:tc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Slider 80%–99%</w:t>
            </w:r>
          </w:p>
        </w:tc>
        <w:tc>
          <w:tcPr>
            <w:tcW w:type="dxa" w:w="1440"/>
            <w:shd w:val="clear" w:color="auto" w:fill="F7F9FC"/>
          </w:tcPr>
          <w:p>
            <w:r>
              <w:rPr>
                <w:color w:val="1A1A1A"/>
                <w:sz w:val="20"/>
              </w:rPr>
              <w:t>0.95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Sets VaR and CVaR confidence level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Time Horizon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Dropdown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20"/>
              </w:rPr>
              <w:t>1 year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Rescales annual PD to the chosen horizon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Stress Multiplier (s)</w:t>
            </w:r>
          </w:p>
        </w:tc>
        <w:tc>
          <w:tcPr>
            <w:tcW w:type="dxa" w:w="2160"/>
            <w:shd w:val="clear" w:color="auto" w:fill="F7F9FC"/>
          </w:tcPr>
          <w:p>
            <w:r>
              <w:rPr>
                <w:color w:val="1A1A1A"/>
                <w:sz w:val="20"/>
              </w:rPr>
              <w:t>Slider 0.5×–3.0×</w:t>
            </w:r>
          </w:p>
        </w:tc>
        <w:tc>
          <w:tcPr>
            <w:tcW w:type="dxa" w:w="1440"/>
            <w:shd w:val="clear" w:color="auto" w:fill="F7F9FC"/>
          </w:tcPr>
          <w:p>
            <w:r>
              <w:rPr>
                <w:color w:val="1A1A1A"/>
                <w:sz w:val="20"/>
              </w:rPr>
              <w:t>1.0×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Uniformly scales all obligor PDs upward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Quantum IQAE toggle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On/Off switch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20"/>
              </w:rPr>
              <w:t>On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Enables or disables the quantum circuit path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B2A4A"/>
        </w:rPr>
        <w:t>5. Output Panels</w:t>
      </w:r>
    </w:p>
    <w:p>
      <w:pPr>
        <w:pStyle w:val="Heading2"/>
        <w:spacing w:before="160" w:after="80"/>
      </w:pPr>
      <w:r>
        <w:rPr>
          <w:b/>
          <w:color w:val="1B2A4A"/>
        </w:rPr>
        <w:t>5.1  Risk Metric Cards</w:t>
      </w:r>
    </w:p>
    <w:p>
      <w:pPr>
        <w:spacing w:after="120"/>
      </w:pPr>
      <w:r>
        <w:rPr>
          <w:color w:val="1A1A1A"/>
          <w:sz w:val="22"/>
        </w:rPr>
        <w:t>Three cards display the Monte Carlo estimates for Expected Loss, VaR_α, and CVaR_α in USD. When the quantum path is active, a separate row shows the IQAE-derived EL and CVaR alongside a percentage delta relative to the Monte Carlo baseline.</w:t>
      </w:r>
    </w:p>
    <w:p>
      <w:pPr>
        <w:pStyle w:val="Heading2"/>
        <w:spacing w:before="160" w:after="80"/>
      </w:pPr>
      <w:r>
        <w:rPr>
          <w:b/>
          <w:color w:val="1B2A4A"/>
        </w:rPr>
        <w:t>5.2  Loss Distribution Histogram</w:t>
      </w:r>
    </w:p>
    <w:p>
      <w:pPr>
        <w:spacing w:after="120"/>
      </w:pPr>
      <w:r>
        <w:rPr>
          <w:color w:val="1A1A1A"/>
          <w:sz w:val="22"/>
        </w:rPr>
        <w:t>A bar chart of the empirical loss distribution P(L = ℓ) across the discretised loss range, derived from the Monte Carlo path. The x-axis shows loss bins in USD; the y-axis shows probability density. Rendered using Recharts inside a React ResponsiveContainer.</w:t>
      </w:r>
    </w:p>
    <w:p>
      <w:pPr>
        <w:pStyle w:val="Heading2"/>
        <w:spacing w:before="160" w:after="80"/>
      </w:pPr>
      <w:r>
        <w:rPr>
          <w:b/>
          <w:color w:val="1B2A4A"/>
        </w:rPr>
        <w:t>5.3  Obligor Detail Table</w:t>
      </w:r>
    </w:p>
    <w:p>
      <w:pPr>
        <w:spacing w:after="120"/>
      </w:pPr>
      <w:r>
        <w:rPr>
          <w:color w:val="1A1A1A"/>
          <w:sz w:val="22"/>
        </w:rPr>
        <w:t>Per-borrower breakdown showing: ticker, S&amp;P rating, adjusted PD (%), LGD (%), and individual expected loss in USD. The bottom row shows the joint default probability P(X_1 = 1 AND X_2 = 1), computed as the product of the two adjusted PDs (independence approximation under the model).</w:t>
      </w:r>
    </w:p>
    <w:p>
      <w:pPr>
        <w:pStyle w:val="Heading2"/>
        <w:spacing w:before="160" w:after="80"/>
      </w:pPr>
      <w:r>
        <w:rPr>
          <w:b/>
          <w:color w:val="1B2A4A"/>
        </w:rPr>
        <w:t>5.4  Loss Percentile Table</w:t>
      </w:r>
    </w:p>
    <w:p>
      <w:pPr>
        <w:spacing w:after="120"/>
      </w:pPr>
      <w:r>
        <w:rPr>
          <w:color w:val="1A1A1A"/>
          <w:sz w:val="22"/>
        </w:rPr>
        <w:t>Five-row table reporting Monte Carlo quantiles at P50, P75, P90, P95, and P99 — both as absolute USD loss and as a percentage of total portfolio exposure.</w:t>
      </w:r>
    </w:p>
    <w:p>
      <w:pPr>
        <w:pStyle w:val="Heading2"/>
        <w:spacing w:before="160" w:after="80"/>
      </w:pPr>
      <w:r>
        <w:rPr>
          <w:b/>
          <w:color w:val="1B2A4A"/>
        </w:rPr>
        <w:t>5.5  Model Status Row</w:t>
      </w:r>
    </w:p>
    <w:p>
      <w:pPr>
        <w:spacing w:after="120"/>
      </w:pPr>
      <w:r>
        <w:rPr>
          <w:color w:val="1A1A1A"/>
          <w:sz w:val="22"/>
        </w:rPr>
        <w:t>Displays active configuration badges: number of Monte Carlo paths, quantum availability, stress multiplier, horizon, and confidence level.</w:t>
      </w:r>
    </w:p>
    <w:p>
      <w:pPr>
        <w:pStyle w:val="Heading2"/>
        <w:spacing w:before="160" w:after="80"/>
      </w:pPr>
      <w:r>
        <w:rPr>
          <w:b/>
          <w:color w:val="1B2A4A"/>
        </w:rPr>
        <w:t>5.6  Sources &amp; Methodology</w:t>
      </w:r>
    </w:p>
    <w:p>
      <w:pPr>
        <w:spacing w:after="120"/>
      </w:pPr>
      <w:r>
        <w:rPr>
          <w:color w:val="1A1A1A"/>
          <w:sz w:val="22"/>
        </w:rPr>
        <w:t>A persistent panel listing the five primary references as hyperlinks (always visible, even before the first run). Provides direct access to the academic and regulatory sources that underpin the parameter choices.</w:t>
      </w:r>
    </w:p>
    <w:p>
      <w:pPr>
        <w:pStyle w:val="Heading1"/>
        <w:spacing w:before="280" w:after="80"/>
      </w:pPr>
      <w:r>
        <w:rPr>
          <w:b/>
          <w:color w:val="1B2A4A"/>
        </w:rPr>
        <w:t>6. Backend API Reference</w:t>
      </w:r>
    </w:p>
    <w:p>
      <w:pPr>
        <w:pStyle w:val="Heading2"/>
        <w:spacing w:before="160" w:after="80"/>
      </w:pPr>
      <w:r>
        <w:rPr>
          <w:b/>
          <w:color w:val="1B2A4A"/>
        </w:rPr>
        <w:t>6.1  GET /api/credit-risk/presets</w:t>
      </w:r>
    </w:p>
    <w:p>
      <w:pPr>
        <w:spacing w:after="120"/>
      </w:pPr>
      <w:r>
        <w:rPr>
          <w:color w:val="1A1A1A"/>
          <w:sz w:val="22"/>
        </w:rPr>
        <w:t>Returns the two hardcoded preset borrowers as JSON. Called once on component mount to pre-populate the obligor input cards.</w:t>
      </w:r>
    </w:p>
    <w:p>
      <w:pPr>
        <w:spacing w:before="80" w:after="80"/>
        <w:ind w:left="576"/>
        <w:shd w:val="clear" w:color="auto" w:fill="F0F4F8"/>
      </w:pPr>
      <w:r>
        <w:rPr>
          <w:rFonts w:ascii="Courier New" w:hAnsi="Courier New"/>
          <w:color w:val="1A1A1A"/>
          <w:sz w:val="18"/>
        </w:rPr>
        <w:t>Response: { "presets": [ { name, ticker, sector, sp_rating, loan_usd, fico_score,</w:t>
        <w:br/>
        <w:t xml:space="preserve">                           pd_override, lgd_override, rho_override }, ... ] }</w:t>
      </w:r>
    </w:p>
    <w:p>
      <w:pPr>
        <w:pStyle w:val="Heading2"/>
        <w:spacing w:before="160" w:after="80"/>
      </w:pPr>
      <w:r>
        <w:rPr>
          <w:b/>
          <w:color w:val="1B2A4A"/>
        </w:rPr>
        <w:t>6.2  POST /api/credit-risk/analyze</w:t>
      </w:r>
    </w:p>
    <w:p>
      <w:pPr>
        <w:spacing w:after="120"/>
      </w:pPr>
      <w:r>
        <w:rPr>
          <w:color w:val="1A1A1A"/>
          <w:sz w:val="22"/>
        </w:rPr>
        <w:t>Runs the full credit risk analysis. If use_presets = true, the preset borrowers are used regardless of the obligors array.</w:t>
      </w:r>
    </w:p>
    <w:p>
      <w:pPr>
        <w:spacing w:before="80" w:after="80"/>
        <w:ind w:left="576"/>
        <w:shd w:val="clear" w:color="auto" w:fill="F0F4F8"/>
      </w:pPr>
      <w:r>
        <w:rPr>
          <w:rFonts w:ascii="Courier New" w:hAnsi="Courier New"/>
          <w:color w:val="1A1A1A"/>
          <w:sz w:val="18"/>
        </w:rPr>
        <w:t>Request body:</w:t>
        <w:br/>
        <w:t xml:space="preserve">  obligors[]         — per-obligor overrides (optional)</w:t>
        <w:br/>
        <w:t xml:space="preserve">  use_presets        — bool (default true)</w:t>
        <w:br/>
        <w:t xml:space="preserve">  confidence         — float [0.80, 0.99]  (default 0.95)</w:t>
        <w:br/>
        <w:t xml:space="preserve">  horizon_years      — float [0.25, 5.0]   (default 1.0)</w:t>
        <w:br/>
        <w:t xml:space="preserve">  stress_multiplier  — float [0.5, 3.0]    (default 1.0)</w:t>
        <w:br/>
        <w:t xml:space="preserve">  use_quantum        — bool (default true)</w:t>
        <w:br/>
        <w:t xml:space="preserve">  n_z                — int  [1, 4]          (default 2)</w:t>
        <w:br/>
        <w:t xml:space="preserve">  shots              — int  [50, 1000]      (default 100)</w:t>
      </w:r>
    </w:p>
    <w:p>
      <w:pPr>
        <w:spacing w:before="80" w:after="80"/>
        <w:ind w:left="576"/>
        <w:shd w:val="clear" w:color="auto" w:fill="F0F4F8"/>
      </w:pPr>
      <w:r>
        <w:rPr>
          <w:rFonts w:ascii="Courier New" w:hAnsi="Courier New"/>
          <w:color w:val="1A1A1A"/>
          <w:sz w:val="18"/>
        </w:rPr>
        <w:t>Response:</w:t>
        <w:br/>
        <w:t xml:space="preserve">  obligors[]         — per-borrower detail (PD, LGD, EL, rho)</w:t>
        <w:br/>
        <w:t xml:space="preserve">  mc { expected_loss_usd, var_usd, cvar_usd, paths }</w:t>
        <w:br/>
        <w:t xml:space="preserve">  quantum { used, el_usd, cvar_usd, circuit_info, error, available }</w:t>
        <w:br/>
        <w:t xml:space="preserve">  histogram[]        — { loss_usd, probability, label }</w:t>
        <w:br/>
        <w:t xml:space="preserve">  percentile_table[] — { label, loss_usd }</w:t>
        <w:br/>
        <w:t xml:space="preserve">  multi_default_prob — float</w:t>
        <w:br/>
        <w:t xml:space="preserve">  sources[]          — { title, url, description }</w:t>
      </w:r>
    </w:p>
    <w:p>
      <w:pPr>
        <w:pStyle w:val="Heading2"/>
        <w:spacing w:before="160" w:after="80"/>
      </w:pPr>
      <w:r>
        <w:rPr>
          <w:b/>
          <w:color w:val="1B2A4A"/>
        </w:rPr>
        <w:t>6.3  Implementation File</w:t>
      </w:r>
    </w:p>
    <w:p>
      <w:pPr>
        <w:spacing w:after="120"/>
      </w:pPr>
      <w:r>
        <w:rPr>
          <w:color w:val="1A1A1A"/>
          <w:sz w:val="22"/>
        </w:rPr>
        <w:t>All backend logic lives in credit_risk.py at the project root. Key symbols: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1728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F7F9FC"/>
          </w:tcPr>
          <w:p>
            <w:r>
              <w:rPr>
                <w:color w:val="1A1A1A"/>
                <w:sz w:val="20"/>
              </w:rPr>
              <w:t>PRESET_BORROWERS</w:t>
            </w:r>
          </w:p>
        </w:tc>
        <w:tc>
          <w:tcPr>
            <w:tcW w:type="dxa" w:w="1728"/>
            <w:shd w:val="clear" w:color="auto" w:fill="F7F9FC"/>
          </w:tcPr>
          <w:p>
            <w:r>
              <w:rPr>
                <w:color w:val="1A1A1A"/>
                <w:sz w:val="20"/>
              </w:rPr>
              <w:t>List[Dict]</w:t>
            </w:r>
          </w:p>
        </w:tc>
        <w:tc>
          <w:tcPr>
            <w:tcW w:type="dxa" w:w="4320"/>
            <w:shd w:val="clear" w:color="auto" w:fill="F7F9FC"/>
          </w:tcPr>
          <w:p>
            <w:r>
              <w:rPr>
                <w:color w:val="1A1A1A"/>
                <w:sz w:val="20"/>
              </w:rPr>
              <w:t>Two hardcoded borrower configurations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20"/>
              </w:rPr>
              <w:t>run_credit_risk_analysis()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20"/>
              </w:rPr>
              <w:t>function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20"/>
              </w:rPr>
              <w:t>Main entry point called by the FastAPI endpoint</w:t>
            </w:r>
          </w:p>
        </w:tc>
      </w:tr>
      <w:tr>
        <w:tc>
          <w:tcPr>
            <w:tcW w:type="dxa" w:w="3312"/>
            <w:shd w:val="clear" w:color="auto" w:fill="F7F9FC"/>
          </w:tcPr>
          <w:p>
            <w:r>
              <w:rPr>
                <w:color w:val="1A1A1A"/>
                <w:sz w:val="20"/>
              </w:rPr>
              <w:t>_monte_carlo()</w:t>
            </w:r>
          </w:p>
        </w:tc>
        <w:tc>
          <w:tcPr>
            <w:tcW w:type="dxa" w:w="1728"/>
            <w:shd w:val="clear" w:color="auto" w:fill="F7F9FC"/>
          </w:tcPr>
          <w:p>
            <w:r>
              <w:rPr>
                <w:color w:val="1A1A1A"/>
                <w:sz w:val="20"/>
              </w:rPr>
              <w:t>function</w:t>
            </w:r>
          </w:p>
        </w:tc>
        <w:tc>
          <w:tcPr>
            <w:tcW w:type="dxa" w:w="4320"/>
            <w:shd w:val="clear" w:color="auto" w:fill="F7F9FC"/>
          </w:tcPr>
          <w:p>
            <w:r>
              <w:rPr>
                <w:color w:val="1A1A1A"/>
                <w:sz w:val="20"/>
              </w:rPr>
              <w:t>Vectorised 60k-path Monte Carlo (SciPy + NumPy)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20"/>
              </w:rPr>
              <w:t>_quantum_credit_risk()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20"/>
              </w:rPr>
              <w:t>function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20"/>
              </w:rPr>
              <w:t>GCI + WeightedAdder + IQAE quantum path (Qiskit)</w:t>
            </w:r>
          </w:p>
        </w:tc>
      </w:tr>
      <w:tr>
        <w:tc>
          <w:tcPr>
            <w:tcW w:type="dxa" w:w="3312"/>
            <w:shd w:val="clear" w:color="auto" w:fill="F7F9FC"/>
          </w:tcPr>
          <w:p>
            <w:r>
              <w:rPr>
                <w:color w:val="1A1A1A"/>
                <w:sz w:val="20"/>
              </w:rPr>
              <w:t>_RATING_PD</w:t>
            </w:r>
          </w:p>
        </w:tc>
        <w:tc>
          <w:tcPr>
            <w:tcW w:type="dxa" w:w="1728"/>
            <w:shd w:val="clear" w:color="auto" w:fill="F7F9FC"/>
          </w:tcPr>
          <w:p>
            <w:r>
              <w:rPr>
                <w:color w:val="1A1A1A"/>
                <w:sz w:val="20"/>
              </w:rPr>
              <w:t>dict</w:t>
            </w:r>
          </w:p>
        </w:tc>
        <w:tc>
          <w:tcPr>
            <w:tcW w:type="dxa" w:w="4320"/>
            <w:shd w:val="clear" w:color="auto" w:fill="F7F9FC"/>
          </w:tcPr>
          <w:p>
            <w:r>
              <w:rPr>
                <w:color w:val="1A1A1A"/>
                <w:sz w:val="20"/>
              </w:rPr>
              <w:t>S&amp;P rating → 1-year PD mapping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20"/>
              </w:rPr>
              <w:t>_SECTOR_RHO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20"/>
              </w:rPr>
              <w:t>dict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20"/>
              </w:rPr>
              <w:t>Sector → Basel II asset correlation</w:t>
            </w:r>
          </w:p>
        </w:tc>
      </w:tr>
      <w:tr>
        <w:tc>
          <w:tcPr>
            <w:tcW w:type="dxa" w:w="3312"/>
            <w:shd w:val="clear" w:color="auto" w:fill="F7F9FC"/>
          </w:tcPr>
          <w:p>
            <w:r>
              <w:rPr>
                <w:color w:val="1A1A1A"/>
                <w:sz w:val="20"/>
              </w:rPr>
              <w:t>_SECTOR_LGD</w:t>
            </w:r>
          </w:p>
        </w:tc>
        <w:tc>
          <w:tcPr>
            <w:tcW w:type="dxa" w:w="1728"/>
            <w:shd w:val="clear" w:color="auto" w:fill="F7F9FC"/>
          </w:tcPr>
          <w:p>
            <w:r>
              <w:rPr>
                <w:color w:val="1A1A1A"/>
                <w:sz w:val="20"/>
              </w:rPr>
              <w:t>dict</w:t>
            </w:r>
          </w:p>
        </w:tc>
        <w:tc>
          <w:tcPr>
            <w:tcW w:type="dxa" w:w="4320"/>
            <w:shd w:val="clear" w:color="auto" w:fill="F7F9FC"/>
          </w:tcPr>
          <w:p>
            <w:r>
              <w:rPr>
                <w:color w:val="1A1A1A"/>
                <w:sz w:val="20"/>
              </w:rPr>
              <w:t>Sector → Loss-Given-Default fraction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B2A4A"/>
        </w:rPr>
        <w:t>7. Preset Borrower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60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Salesforce (CRM)</w:t>
            </w:r>
          </w:p>
        </w:tc>
        <w:tc>
          <w:tcPr>
            <w:tcW w:type="dxa" w:w="3600"/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Macy's (M)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>
              <w:rPr>
                <w:color w:val="1A1A1A"/>
                <w:sz w:val="20"/>
              </w:rPr>
              <w:t>Name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Salesforce, Inc.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Macy's, Inc.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20"/>
              </w:rPr>
              <w:t>Ticker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CRM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M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>
              <w:rPr>
                <w:color w:val="1A1A1A"/>
                <w:sz w:val="20"/>
              </w:rPr>
              <w:t>Sector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SaaS / Software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Retail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20"/>
              </w:rPr>
              <w:t>S&amp;P Rating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A+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BB+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>
              <w:rPr>
                <w:color w:val="1A1A1A"/>
                <w:sz w:val="20"/>
              </w:rPr>
              <w:t>1-year PD (base)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0.030%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0.500%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20"/>
              </w:rPr>
              <w:t>LGD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40%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65%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>
              <w:rPr>
                <w:color w:val="1A1A1A"/>
                <w:sz w:val="20"/>
              </w:rPr>
              <w:t>Asset Corr. (ρ)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0.28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0.28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20"/>
              </w:rPr>
              <w:t>Loan Exposure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$100,000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$100,000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>
              <w:rPr>
                <w:color w:val="1A1A1A"/>
                <w:sz w:val="20"/>
              </w:rPr>
              <w:t>FICO Score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780 (prime)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638 (near-prime)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20"/>
              </w:rPr>
              <w:t>PD Source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S&amp;P 2025 Annual Default Study — A+ cohort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20"/>
              </w:rPr>
              <w:t>S&amp;P 2025 Annual Default Study — BB+ cohort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>
              <w:rPr>
                <w:color w:val="1A1A1A"/>
                <w:sz w:val="20"/>
              </w:rPr>
              <w:t>LGD Source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Basel II senior unsecured corporate average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color w:val="1A1A1A"/>
                <w:sz w:val="20"/>
              </w:rPr>
              <w:t>Basel II retail / unsecured average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B2A4A"/>
        </w:rPr>
        <w:t>8. References</w:t>
      </w:r>
    </w:p>
    <w:p>
      <w:pPr>
        <w:spacing w:after="160"/>
        <w:ind w:left="432"/>
      </w:pPr>
      <w:r>
        <w:rPr>
          <w:b/>
          <w:color w:val="0D7E8A"/>
          <w:sz w:val="20"/>
        </w:rPr>
        <w:t xml:space="preserve">[1]  </w:t>
      </w:r>
      <w:r>
        <w:rPr>
          <w:b/>
          <w:color w:val="1B2A4A"/>
          <w:sz w:val="20"/>
        </w:rPr>
        <w:t>Qiskit Finance — Credit Risk Analysis Tutorial</w:t>
        <w:br/>
      </w:r>
      <w:r>
        <w:rPr>
          <w:color w:val="0D7E8A"/>
          <w:sz w:val="18"/>
          <w:u w:val="single"/>
        </w:rPr>
        <w:t>https://qiskit-community.github.io/qiskit-finance/tutorials/09_credit_risk_analysis.html</w:t>
        <w:br/>
      </w:r>
      <w:r>
        <w:rPr>
          <w:color w:val="606C7C"/>
          <w:sz w:val="20"/>
        </w:rPr>
        <w:t>Original Qiskit notebook: GCI model, WeightedAdder, LinearAmplitudeFunction, IQAE.</w:t>
      </w:r>
    </w:p>
    <w:p>
      <w:pPr>
        <w:spacing w:after="160"/>
        <w:ind w:left="432"/>
      </w:pPr>
      <w:r>
        <w:rPr>
          <w:b/>
          <w:color w:val="0D7E8A"/>
          <w:sz w:val="20"/>
        </w:rPr>
        <w:t xml:space="preserve">[2]  </w:t>
      </w:r>
      <w:r>
        <w:rPr>
          <w:b/>
          <w:color w:val="1B2A4A"/>
          <w:sz w:val="20"/>
        </w:rPr>
        <w:t>S&amp;P Global Ratings — 2025 Annual Global Corporate Default and Rating Transition Study</w:t>
        <w:br/>
      </w:r>
      <w:r>
        <w:rPr>
          <w:color w:val="0D7E8A"/>
          <w:sz w:val="18"/>
          <w:u w:val="single"/>
        </w:rPr>
        <w:t>https://www.spglobal.com/ratings/en/research/articles/250328-2025-annual-global-corporate-default-and-rating-transition-study-13473585</w:t>
        <w:br/>
      </w:r>
      <w:r>
        <w:rPr>
          <w:color w:val="606C7C"/>
          <w:sz w:val="20"/>
        </w:rPr>
        <w:t>Source for 1-year default probabilities by letter rating (A+: ~0.030%, BB+: ~0.500%).</w:t>
      </w:r>
    </w:p>
    <w:p>
      <w:pPr>
        <w:spacing w:after="160"/>
        <w:ind w:left="432"/>
      </w:pPr>
      <w:r>
        <w:rPr>
          <w:b/>
          <w:color w:val="0D7E8A"/>
          <w:sz w:val="20"/>
        </w:rPr>
        <w:t xml:space="preserve">[3]  </w:t>
      </w:r>
      <w:r>
        <w:rPr>
          <w:b/>
          <w:color w:val="1B2A4A"/>
          <w:sz w:val="20"/>
        </w:rPr>
        <w:t>Basel Committee on Banking Supervision — An Explanatory Note on the Basel II IRB Risk Weight Functions (BIS, 2005)</w:t>
        <w:br/>
      </w:r>
      <w:r>
        <w:rPr>
          <w:color w:val="0D7E8A"/>
          <w:sz w:val="18"/>
          <w:u w:val="single"/>
        </w:rPr>
        <w:t>https://www.bis.org/bcbs/irbriskweight.pdf</w:t>
        <w:br/>
      </w:r>
      <w:r>
        <w:rPr>
          <w:color w:val="606C7C"/>
          <w:sz w:val="20"/>
        </w:rPr>
        <w:t>Derivation of the asset correlation formula ρ(PD) used in the GCI systemic factor model.</w:t>
      </w:r>
    </w:p>
    <w:p>
      <w:pPr>
        <w:spacing w:after="160"/>
        <w:ind w:left="432"/>
      </w:pPr>
      <w:r>
        <w:rPr>
          <w:b/>
          <w:color w:val="0D7E8A"/>
          <w:sz w:val="20"/>
        </w:rPr>
        <w:t xml:space="preserve">[4]  </w:t>
      </w:r>
      <w:r>
        <w:rPr>
          <w:b/>
          <w:color w:val="1B2A4A"/>
          <w:sz w:val="20"/>
        </w:rPr>
        <w:t>Woerner, S. &amp; Egger, D.J. — Quantum Risk Analysis (npj Quantum Information, 2019)</w:t>
        <w:br/>
      </w:r>
      <w:r>
        <w:rPr>
          <w:color w:val="0D7E8A"/>
          <w:sz w:val="18"/>
          <w:u w:val="single"/>
        </w:rPr>
        <w:t>https://www.nature.com/articles/s41534-019-0130-6</w:t>
        <w:br/>
      </w:r>
      <w:r>
        <w:rPr>
          <w:color w:val="606C7C"/>
          <w:sz w:val="20"/>
        </w:rPr>
        <w:t>Foundational paper demonstrating QAE-based VaR/CVaR with quadratic speedup over Monte Carlo.</w:t>
      </w:r>
    </w:p>
    <w:p>
      <w:pPr>
        <w:spacing w:after="160"/>
        <w:ind w:left="432"/>
      </w:pPr>
      <w:r>
        <w:rPr>
          <w:b/>
          <w:color w:val="0D7E8A"/>
          <w:sz w:val="20"/>
        </w:rPr>
        <w:t xml:space="preserve">[5]  </w:t>
      </w:r>
      <w:r>
        <w:rPr>
          <w:b/>
          <w:color w:val="1B2A4A"/>
          <w:sz w:val="20"/>
        </w:rPr>
        <w:t>Egger, D.J. et al. — Credit Risk Analysis Using Quantum Computers (IEEE Trans. Computers, 2020)</w:t>
        <w:br/>
      </w:r>
      <w:r>
        <w:rPr>
          <w:color w:val="0D7E8A"/>
          <w:sz w:val="18"/>
          <w:u w:val="single"/>
        </w:rPr>
        <w:t>https://ieeexplore.ieee.org/document/9259208</w:t>
        <w:br/>
      </w:r>
      <w:r>
        <w:rPr>
          <w:color w:val="606C7C"/>
          <w:sz w:val="20"/>
        </w:rPr>
        <w:t>Direct application of GCI + IQAE to credit portfolios; basis for the Lachesis circuit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