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PERJALANAN DINAS PENELITIAN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perjalanan dinas yang berkaitan dengan kegiatan penelitian, dengan rincian sebagai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Tujuan Perjalanan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{{travelDestination}}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Tanggal Berangkat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{{departureDate}}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Tanggal Kembali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{{returnDate}}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Moda Transportasi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{{transportMode}}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Sumber Dana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{{fundingSource}}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Tujuan/Keterkaitan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{{activityPurpose}}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Times New Roman" w:hAnsi="Times New Roman" w:eastAsia="Times New Roman"/>
          <w:b/>
          <w:i w:val="0"/>
          <w:sz w:val="21"/>
        </w:rPr>
        <w:t>Jadwal/Rundown (jika tersedia)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8788"/>
      </w:tblGrid>
      <w:tr>
        <w:tc>
          <w:tcPr>
            <w:tcW w:type="dxa" w:w="878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{{travelSchedule}}</w:t>
            </w:r>
          </w:p>
        </w:tc>
      </w:tr>
    </w:tbl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Surat tugas ini tidak menetapkan nominal biaya, hak perjalanan, ataupun ketentuan penggantian biaya. Hal-hal terkait pendanaan mengikuti informasi dan mekanisme yang ditetapkan untuk kegiatan terkait.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