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entury Gothic" w:hAnsi="Century Gothic"/>
        </w:rPr>
      </w:pPr>
      <w:r>
        <w:rPr/>
        <w:drawing>
          <wp:inline distT="0" distB="0" distL="0" distR="0">
            <wp:extent cx="5996940" cy="590550"/>
            <wp:effectExtent l="0" t="0" r="0" b="0"/>
            <wp:docPr id="1" name="Picture 684732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4732911" descr=""/>
                    <pic:cNvPicPr>
                      <a:picLocks noChangeAspect="1" noChangeArrowheads="1"/>
                    </pic:cNvPicPr>
                  </pic:nvPicPr>
                  <pic:blipFill>
                    <a:blip r:embed="rId2"/>
                    <a:stretch>
                      <a:fillRect/>
                    </a:stretch>
                  </pic:blipFill>
                  <pic:spPr bwMode="auto">
                    <a:xfrm>
                      <a:off x="0" y="0"/>
                      <a:ext cx="5996940" cy="590550"/>
                    </a:xfrm>
                    <a:prstGeom prst="rect">
                      <a:avLst/>
                    </a:prstGeom>
                  </pic:spPr>
                </pic:pic>
              </a:graphicData>
            </a:graphic>
          </wp:inline>
        </w:drawing>
      </w:r>
    </w:p>
    <w:p>
      <w:pPr>
        <w:pStyle w:val="Normal"/>
        <w:rPr>
          <w:rFonts w:ascii="Century Gothic" w:hAnsi="Century Gothic"/>
        </w:rPr>
      </w:pPr>
      <w:r>
        <w:rPr>
          <w:rFonts w:ascii="Century Gothic" w:hAnsi="Century Gothic"/>
          <w:b/>
          <w:bCs/>
          <w:sz w:val="28"/>
          <w:szCs w:val="28"/>
        </w:rPr>
        <w:t>Finding Name: Unchecked Integrity of resource</w:t>
      </w:r>
    </w:p>
    <w:tbl>
      <w:tblPr>
        <w:tblStyle w:val="TableGrid"/>
        <w:tblW w:w="9348" w:type="dxa"/>
        <w:jc w:val="left"/>
        <w:tblInd w:w="0" w:type="dxa"/>
        <w:tblLayout w:type="fixed"/>
        <w:tblCellMar>
          <w:top w:w="0" w:type="dxa"/>
          <w:left w:w="105" w:type="dxa"/>
          <w:bottom w:w="0" w:type="dxa"/>
          <w:right w:w="105" w:type="dxa"/>
        </w:tblCellMar>
        <w:tblLook w:firstRow="1" w:noVBand="1" w:lastRow="0" w:firstColumn="1" w:lastColumn="0" w:noHBand="1" w:val="06a0"/>
      </w:tblPr>
      <w:tblGrid>
        <w:gridCol w:w="1691"/>
        <w:gridCol w:w="1038"/>
        <w:gridCol w:w="1441"/>
        <w:gridCol w:w="1094"/>
        <w:gridCol w:w="1995"/>
        <w:gridCol w:w="2088"/>
      </w:tblGrid>
      <w:tr>
        <w:trPr>
          <w:trHeight w:val="300" w:hRule="atLeast"/>
        </w:trPr>
        <w:tc>
          <w:tcPr>
            <w:tcW w:w="1691" w:type="dxa"/>
            <w:tcBorders>
              <w:top w:val="single" w:sz="6" w:space="0" w:color="000000"/>
              <w:lef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Name</w:t>
            </w:r>
          </w:p>
        </w:tc>
        <w:tc>
          <w:tcPr>
            <w:tcW w:w="1038"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Team</w:t>
            </w:r>
          </w:p>
        </w:tc>
        <w:tc>
          <w:tcPr>
            <w:tcW w:w="1441"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Role</w:t>
            </w:r>
          </w:p>
        </w:tc>
        <w:tc>
          <w:tcPr>
            <w:tcW w:w="1094"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Project</w:t>
            </w:r>
          </w:p>
        </w:tc>
        <w:tc>
          <w:tcPr>
            <w:tcW w:w="1995"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Quality Assurance</w:t>
            </w:r>
          </w:p>
        </w:tc>
        <w:tc>
          <w:tcPr>
            <w:tcW w:w="2088" w:type="dxa"/>
            <w:tcBorders>
              <w:top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Is this a re-tested Finding?</w:t>
            </w:r>
          </w:p>
        </w:tc>
      </w:tr>
      <w:tr>
        <w:trPr>
          <w:trHeight w:val="300" w:hRule="atLeast"/>
        </w:trPr>
        <w:tc>
          <w:tcPr>
            <w:tcW w:w="1691" w:type="dxa"/>
            <w:tcBorders>
              <w:lef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Pushkar Goel</w:t>
            </w:r>
          </w:p>
        </w:tc>
        <w:tc>
          <w:tcPr>
            <w:tcW w:w="1038"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 Team Member</w:t>
            </w:r>
          </w:p>
        </w:tc>
        <w:tc>
          <w:tcPr>
            <w:tcW w:w="1094"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tcPr>
          <w:p>
            <w:pPr>
              <w:pStyle w:val="Normal"/>
              <w:widowControl/>
              <w:suppressLineNumbers w:val="0"/>
              <w:bidi w:val="0"/>
              <w:spacing w:lineRule="auto" w:line="259" w:beforeAutospacing="0" w:before="0" w:afterAutospacing="0" w:after="0"/>
              <w:ind w:left="0" w:right="0"/>
              <w:jc w:val="left"/>
              <w:rPr/>
            </w:pPr>
            <w:r>
              <w:rPr>
                <w:rFonts w:eastAsia="Segoe UI" w:cs="Segoe UI" w:ascii="Century Gothic" w:hAnsi="Century Gothic"/>
                <w:color w:val="0070C0"/>
                <w:sz w:val="18"/>
                <w:szCs w:val="18"/>
                <w:lang w:val="en-US" w:eastAsia="en-US" w:bidi="ar-SA"/>
              </w:rPr>
              <w:t>Natalia Khbotova</w:t>
            </w:r>
          </w:p>
        </w:tc>
        <w:tc>
          <w:tcPr>
            <w:tcW w:w="2088" w:type="dxa"/>
            <w:tcBorders>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t>Yes</w:t>
            </w:r>
          </w:p>
        </w:tc>
      </w:tr>
      <w:tr>
        <w:trPr>
          <w:trHeight w:val="300" w:hRule="atLeast"/>
        </w:trPr>
        <w:tc>
          <w:tcPr>
            <w:tcW w:w="1691"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Jaspriya Kaur</w:t>
            </w:r>
          </w:p>
        </w:tc>
        <w:tc>
          <w:tcPr>
            <w:tcW w:w="1038"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 xml:space="preserve">SCR Team </w:t>
            </w:r>
            <w:r>
              <w:rPr>
                <w:rFonts w:eastAsia="Segoe UI" w:cs="Segoe UI" w:ascii="Century Gothic" w:hAnsi="Century Gothic"/>
                <w:color w:val="0070C0"/>
                <w:kern w:val="0"/>
                <w:sz w:val="18"/>
                <w:szCs w:val="18"/>
                <w:lang w:val="en-US" w:eastAsia="en-US" w:bidi="ar-SA"/>
              </w:rPr>
              <w:t>Lead</w:t>
            </w:r>
          </w:p>
        </w:tc>
        <w:tc>
          <w:tcPr>
            <w:tcW w:w="1094"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bottom w:val="single" w:sz="6" w:space="0" w:color="000000"/>
            </w:tcBorders>
          </w:tcPr>
          <w:p>
            <w:pPr>
              <w:pStyle w:val="Normal"/>
              <w:widowControl/>
              <w:suppressLineNumbers w:val="0"/>
              <w:bidi w:val="0"/>
              <w:spacing w:lineRule="auto" w:line="259" w:beforeAutospacing="0" w:before="0" w:afterAutospacing="0" w:after="0"/>
              <w:ind w:left="0" w:right="0"/>
              <w:jc w:val="left"/>
              <w:rPr/>
            </w:pPr>
            <w:r>
              <w:rPr>
                <w:rFonts w:eastAsia="Segoe UI" w:cs="Segoe UI" w:ascii="Century Gothic" w:hAnsi="Century Gothic"/>
                <w:color w:val="0070C0"/>
                <w:sz w:val="18"/>
                <w:szCs w:val="18"/>
                <w:lang w:val="en-US" w:eastAsia="en-US" w:bidi="ar-SA"/>
              </w:rPr>
              <w:t>Natalia Khbotova</w:t>
            </w:r>
          </w:p>
        </w:tc>
        <w:tc>
          <w:tcPr>
            <w:tcW w:w="2088"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t>Yes</w:t>
            </w:r>
          </w:p>
        </w:tc>
      </w:tr>
    </w:tbl>
    <w:p>
      <w:pPr>
        <w:pStyle w:val="Normal"/>
        <w:rPr>
          <w:rFonts w:ascii="Century Gothic" w:hAnsi="Century Gothic"/>
        </w:rPr>
      </w:pPr>
      <w:r>
        <w:rPr>
          <w:rFonts w:ascii="Century Gothic" w:hAnsi="Century Gothic"/>
        </w:rPr>
      </w:r>
    </w:p>
    <w:tbl>
      <w:tblPr>
        <w:tblStyle w:val="TableGrid"/>
        <w:tblW w:w="315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3150"/>
      </w:tblGrid>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b/>
                <w:bCs/>
                <w:sz w:val="24"/>
                <w:szCs w:val="24"/>
              </w:rPr>
            </w:pPr>
            <w:r>
              <w:rPr>
                <w:rFonts w:eastAsia="Calibri" w:cs="Arial" w:ascii="Century Gothic" w:hAnsi="Century Gothic"/>
                <w:b/>
                <w:bCs/>
                <w:kern w:val="0"/>
                <w:sz w:val="24"/>
                <w:szCs w:val="24"/>
                <w:lang w:val="en-US" w:eastAsia="en-US" w:bidi="ar-SA"/>
              </w:rPr>
              <w:t>Was this Finding Successful?</w:t>
            </w:r>
          </w:p>
        </w:tc>
      </w:tr>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sz w:val="24"/>
                <w:szCs w:val="24"/>
              </w:rPr>
            </w:pPr>
            <w:r>
              <w:rPr>
                <w:rFonts w:eastAsia="Calibri" w:cs="Arial" w:ascii="Century Gothic" w:hAnsi="Century Gothic"/>
                <w:color w:val="0070C0"/>
                <w:kern w:val="0"/>
                <w:sz w:val="24"/>
                <w:szCs w:val="24"/>
                <w:lang w:val="en-US" w:eastAsia="en-US" w:bidi="ar-SA"/>
              </w:rPr>
              <w:t>Yes</w:t>
            </w:r>
          </w:p>
        </w:tc>
      </w:tr>
    </w:tbl>
    <w:p>
      <w:pPr>
        <w:pStyle w:val="Normal"/>
        <w:rPr>
          <w:rFonts w:ascii="Century Gothic" w:hAnsi="Century Gothic"/>
          <w:b/>
          <w:bCs/>
          <w:sz w:val="24"/>
          <w:szCs w:val="24"/>
        </w:rPr>
      </w:pPr>
      <w:r>
        <w:rPr>
          <w:rFonts w:ascii="Century Gothic" w:hAnsi="Century Gothic"/>
          <w:b/>
          <w:bCs/>
          <w:sz w:val="24"/>
          <w:szCs w:val="24"/>
        </w:rPr>
        <w:t>Finding Description</w:t>
      </w:r>
    </w:p>
    <w:p>
      <w:pPr>
        <w:pStyle w:val="Normal"/>
        <w:rPr>
          <w:color w:val="000000"/>
          <w:sz w:val="22"/>
          <w:szCs w:val="22"/>
        </w:rPr>
      </w:pPr>
      <w:r>
        <w:rPr>
          <w:rFonts w:ascii="Century Gothic" w:hAnsi="Century Gothic"/>
          <w:color w:val="000000"/>
          <w:sz w:val="22"/>
          <w:szCs w:val="22"/>
        </w:rPr>
        <w:t>Remote artifact is being used in the script tag without checking its integrity which can lead to the unexpected execution of malicious code in the application.</w:t>
      </w:r>
    </w:p>
    <w:p>
      <w:pPr>
        <w:pStyle w:val="Normal"/>
        <w:rPr>
          <w:color w:val="000000"/>
          <w:sz w:val="22"/>
          <w:szCs w:val="22"/>
        </w:rPr>
      </w:pPr>
      <w:r>
        <w:rPr>
          <w:rFonts w:ascii="Century Gothic" w:hAnsi="Century Gothic"/>
          <w:color w:val="000000"/>
          <w:sz w:val="22"/>
          <w:szCs w:val="22"/>
        </w:rPr>
        <w:t xml:space="preserve">This happens in the following code in </w:t>
      </w:r>
      <w:r>
        <w:rPr>
          <w:rFonts w:ascii="Century Gothic" w:hAnsi="Century Gothic"/>
          <w:b/>
          <w:bCs/>
          <w:color w:val="000000"/>
          <w:sz w:val="22"/>
          <w:szCs w:val="22"/>
        </w:rPr>
        <w:t xml:space="preserve">doubtfire-web/src/index.html </w:t>
      </w:r>
      <w:r>
        <w:rPr>
          <w:rFonts w:ascii="Century Gothic" w:hAnsi="Century Gothic"/>
          <w:b w:val="false"/>
          <w:bCs w:val="false"/>
          <w:color w:val="000000"/>
          <w:sz w:val="22"/>
          <w:szCs w:val="22"/>
        </w:rPr>
        <w:t>where the link is added to script tag without any checks</w:t>
      </w:r>
    </w:p>
    <w:p>
      <w:pPr>
        <w:pStyle w:val="Normal"/>
        <w:rPr>
          <w:color w:val="000000"/>
          <w:sz w:val="22"/>
          <w:szCs w:val="22"/>
        </w:rPr>
      </w:pPr>
      <w:r>
        <w:rPr>
          <w:color w:val="000000"/>
          <w:sz w:val="22"/>
          <w:szCs w:val="22"/>
        </w:rPr>
        <w:drawing>
          <wp:anchor behindDoc="0" distT="0" distB="0" distL="0" distR="0" simplePos="0" locked="0" layoutInCell="0" allowOverlap="1" relativeHeight="3">
            <wp:simplePos x="0" y="0"/>
            <wp:positionH relativeFrom="column">
              <wp:posOffset>120015</wp:posOffset>
            </wp:positionH>
            <wp:positionV relativeFrom="paragraph">
              <wp:posOffset>120015</wp:posOffset>
            </wp:positionV>
            <wp:extent cx="5943600" cy="168021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943600" cy="1680210"/>
                    </a:xfrm>
                    <a:prstGeom prst="rect">
                      <a:avLst/>
                    </a:prstGeom>
                  </pic:spPr>
                </pic:pic>
              </a:graphicData>
            </a:graphic>
          </wp:anchor>
        </w:drawing>
      </w:r>
    </w:p>
    <w:p>
      <w:pPr>
        <w:pStyle w:val="Normal"/>
        <w:jc w:val="center"/>
        <w:rPr>
          <w:b/>
          <w:bCs/>
          <w:color w:val="000000"/>
          <w:sz w:val="22"/>
          <w:szCs w:val="22"/>
        </w:rPr>
      </w:pPr>
      <w:r>
        <w:rPr>
          <w:rFonts w:ascii="Century Gothic" w:hAnsi="Century Gothic"/>
          <w:b/>
          <w:bCs/>
          <w:color w:val="000000"/>
          <w:sz w:val="22"/>
          <w:szCs w:val="22"/>
        </w:rPr>
        <w:t>Path :  doubtfire-web/src/index.html</w:t>
      </w:r>
    </w:p>
    <w:p>
      <w:pPr>
        <w:pStyle w:val="Normal"/>
        <w:rPr>
          <w:color w:val="000000"/>
          <w:sz w:val="22"/>
          <w:szCs w:val="22"/>
        </w:rPr>
      </w:pPr>
      <w:r>
        <w:rPr>
          <w:rFonts w:ascii="Century Gothic" w:hAnsi="Century Gothic"/>
          <w:color w:val="000000"/>
          <w:sz w:val="22"/>
          <w:szCs w:val="22"/>
        </w:rPr>
        <w:t>On the client side, where front-end code is executed, malicious code could:</w:t>
      </w:r>
    </w:p>
    <w:p>
      <w:pPr>
        <w:pStyle w:val="Normal"/>
        <w:numPr>
          <w:ilvl w:val="0"/>
          <w:numId w:val="3"/>
        </w:numPr>
        <w:rPr>
          <w:color w:val="000000"/>
          <w:sz w:val="22"/>
          <w:szCs w:val="22"/>
        </w:rPr>
      </w:pPr>
      <w:r>
        <w:rPr>
          <w:rFonts w:ascii="Century Gothic" w:hAnsi="Century Gothic"/>
          <w:color w:val="000000"/>
          <w:sz w:val="22"/>
          <w:szCs w:val="22"/>
        </w:rPr>
        <w:t xml:space="preserve"> </w:t>
      </w:r>
      <w:r>
        <w:rPr>
          <w:rFonts w:ascii="Century Gothic" w:hAnsi="Century Gothic"/>
          <w:color w:val="000000"/>
          <w:sz w:val="22"/>
          <w:szCs w:val="22"/>
        </w:rPr>
        <w:t>impersonate users' identities and take advantage of their privileges on the application.</w:t>
      </w:r>
    </w:p>
    <w:p>
      <w:pPr>
        <w:pStyle w:val="Normal"/>
        <w:numPr>
          <w:ilvl w:val="0"/>
          <w:numId w:val="3"/>
        </w:numPr>
        <w:rPr>
          <w:color w:val="000000"/>
          <w:sz w:val="22"/>
          <w:szCs w:val="22"/>
        </w:rPr>
      </w:pPr>
      <w:r>
        <w:rPr>
          <w:rFonts w:ascii="Century Gothic" w:hAnsi="Century Gothic"/>
          <w:color w:val="000000"/>
          <w:sz w:val="22"/>
          <w:szCs w:val="22"/>
        </w:rPr>
        <w:t>add quiet malware that monitors users' session and capture sensitive secrets.</w:t>
      </w:r>
    </w:p>
    <w:p>
      <w:pPr>
        <w:pStyle w:val="Normal"/>
        <w:numPr>
          <w:ilvl w:val="0"/>
          <w:numId w:val="3"/>
        </w:numPr>
        <w:rPr>
          <w:color w:val="000000"/>
          <w:sz w:val="22"/>
          <w:szCs w:val="22"/>
        </w:rPr>
      </w:pPr>
      <w:r>
        <w:rPr>
          <w:rFonts w:ascii="Century Gothic" w:hAnsi="Century Gothic"/>
          <w:color w:val="000000"/>
          <w:sz w:val="22"/>
          <w:szCs w:val="22"/>
        </w:rPr>
        <w:t>gain access to sensitive clients' personal data.</w:t>
      </w:r>
    </w:p>
    <w:p>
      <w:pPr>
        <w:pStyle w:val="Normal"/>
        <w:numPr>
          <w:ilvl w:val="0"/>
          <w:numId w:val="3"/>
        </w:numPr>
        <w:rPr>
          <w:color w:val="000000"/>
          <w:sz w:val="22"/>
          <w:szCs w:val="22"/>
        </w:rPr>
      </w:pPr>
      <w:r>
        <w:rPr>
          <w:rFonts w:ascii="Century Gothic" w:hAnsi="Century Gothic"/>
          <w:color w:val="000000"/>
          <w:sz w:val="22"/>
          <w:szCs w:val="22"/>
        </w:rPr>
        <w:t>deface, or otherwise affect the general availability of the application.</w:t>
      </w:r>
    </w:p>
    <w:p>
      <w:pPr>
        <w:pStyle w:val="Normal"/>
        <w:rPr>
          <w:color w:val="000000"/>
          <w:sz w:val="22"/>
          <w:szCs w:val="22"/>
        </w:rPr>
      </w:pPr>
      <w:r>
        <w:rPr>
          <w:rFonts w:ascii="Century Gothic" w:hAnsi="Century Gothic"/>
          <w:color w:val="000000"/>
          <w:sz w:val="22"/>
          <w:szCs w:val="22"/>
        </w:rPr>
        <w:t xml:space="preserve">    </w:t>
      </w:r>
    </w:p>
    <w:p>
      <w:pPr>
        <w:pStyle w:val="Normal"/>
        <w:rPr>
          <w:color w:val="000000"/>
          <w:sz w:val="22"/>
          <w:szCs w:val="22"/>
        </w:rPr>
      </w:pPr>
      <w:r>
        <w:rPr>
          <w:rFonts w:ascii="Century Gothic" w:hAnsi="Century Gothic"/>
          <w:color w:val="000000"/>
          <w:sz w:val="22"/>
          <w:szCs w:val="22"/>
        </w:rPr>
        <w:t xml:space="preserve">    </w:t>
      </w:r>
    </w:p>
    <w:p>
      <w:pPr>
        <w:pStyle w:val="Normal"/>
        <w:rPr>
          <w:color w:val="000000"/>
          <w:sz w:val="22"/>
          <w:szCs w:val="22"/>
        </w:rPr>
      </w:pPr>
      <w:r>
        <w:rPr>
          <w:rFonts w:ascii="Century Gothic" w:hAnsi="Century Gothic"/>
          <w:color w:val="000000"/>
          <w:sz w:val="22"/>
          <w:szCs w:val="22"/>
        </w:rPr>
        <w:t xml:space="preserve">    </w:t>
      </w:r>
    </w:p>
    <w:p>
      <w:pPr>
        <w:pStyle w:val="Normal"/>
        <w:rPr>
          <w:color w:val="000000"/>
          <w:sz w:val="22"/>
          <w:szCs w:val="22"/>
        </w:rPr>
      </w:pPr>
      <w:r>
        <w:rPr>
          <w:color w:val="000000"/>
          <w:sz w:val="22"/>
          <w:szCs w:val="22"/>
        </w:rPr>
      </w:r>
    </w:p>
    <w:p>
      <w:pPr>
        <w:pStyle w:val="Normal"/>
        <w:rPr>
          <w:color w:val="000000"/>
          <w:sz w:val="22"/>
          <w:szCs w:val="22"/>
        </w:rPr>
      </w:pPr>
      <w:r>
        <w:rPr>
          <w:rFonts w:ascii="Century Gothic" w:hAnsi="Century Gothic"/>
          <w:color w:val="000000"/>
          <w:sz w:val="22"/>
          <w:szCs w:val="22"/>
        </w:rPr>
        <w:t>Putting an integrity check would allow that the artifact is as expected and is not modified by any malware.</w:t>
      </w:r>
    </w:p>
    <w:p>
      <w:pPr>
        <w:pStyle w:val="Normal"/>
        <w:rPr>
          <w:color w:val="000000"/>
        </w:rPr>
      </w:pPr>
      <w:r>
        <w:rPr>
          <w:rFonts w:ascii="Century Gothic" w:hAnsi="Century Gothic"/>
          <w:b/>
          <w:bCs/>
          <w:color w:val="000000"/>
          <w:sz w:val="24"/>
          <w:szCs w:val="24"/>
        </w:rPr>
        <w:t>Risk Rating</w:t>
      </w:r>
      <w:r>
        <w:rPr>
          <w:rFonts w:ascii="Century Gothic" w:hAnsi="Century Gothic"/>
          <w:color w:val="000000"/>
        </w:rPr>
        <w:br/>
        <w:t>Impact: Major</w:t>
        <w:br/>
        <w:t>Likelihood: Moderate</w:t>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color w:val="000000"/>
              </w:rPr>
            </w:pPr>
            <w:r>
              <w:rPr>
                <w:rFonts w:eastAsia="Calibri" w:cs="Calibri" w:ascii="Century Gothic" w:hAnsi="Century Gothic"/>
                <w:b/>
                <w:bCs/>
                <w:color w:val="000000"/>
                <w:kern w:val="0"/>
                <w:sz w:val="22"/>
                <w:szCs w:val="22"/>
                <w:lang w:val="en-AU" w:eastAsia="en-US" w:bidi="ar-SA"/>
              </w:rPr>
              <w:t>Impact values</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Very Minor</w:t>
            </w:r>
          </w:p>
        </w:tc>
        <w:tc>
          <w:tcPr>
            <w:tcW w:w="1800" w:type="dxa"/>
            <w:tcBorders/>
            <w:shd w:color="auto" w:fill="92D05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Minor</w:t>
            </w:r>
          </w:p>
        </w:tc>
        <w:tc>
          <w:tcPr>
            <w:tcW w:w="1800" w:type="dxa"/>
            <w:tcBorders/>
            <w:shd w:color="auto" w:fill="FFFF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Significant</w:t>
            </w:r>
          </w:p>
        </w:tc>
        <w:tc>
          <w:tcPr>
            <w:tcW w:w="1800" w:type="dxa"/>
            <w:tcBorders/>
            <w:shd w:color="auto" w:fill="FFC000" w:themeFill="accent4"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Major</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Severe</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little to no impact. Will not cause damage and regular activity can continue.</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minor form of impact, but not significant enough to be of threat. Can cause some damage but not enough to impede regular activity.</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enough impact to be somewhat of a threat. Will cause damage that can impede regular activity but will be able to run normally.</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major impact to be of threat. Will cause damage that will impede regular activity and will not be able to run normally.</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severe impact and is a threat. Will cause critical damage that can cease activity to be run.</w:t>
            </w:r>
          </w:p>
        </w:tc>
      </w:tr>
    </w:tbl>
    <w:p>
      <w:pPr>
        <w:pStyle w:val="Normal"/>
        <w:rPr>
          <w:rFonts w:ascii="Century Gothic" w:hAnsi="Century Gothic" w:eastAsia="Calibri" w:cs="Calibri"/>
          <w:color w:val="000000"/>
        </w:rPr>
      </w:pPr>
      <w:r>
        <w:rPr>
          <w:rFonts w:eastAsia="Calibri" w:cs="Calibri" w:ascii="Century Gothic" w:hAnsi="Century Gothic"/>
          <w:color w:val="000000"/>
        </w:rPr>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color w:val="000000"/>
              </w:rPr>
            </w:pPr>
            <w:r>
              <w:rPr>
                <w:rFonts w:eastAsia="Calibri" w:cs="Calibri" w:ascii="Century Gothic" w:hAnsi="Century Gothic"/>
                <w:b/>
                <w:bCs/>
                <w:color w:val="000000"/>
                <w:kern w:val="0"/>
                <w:sz w:val="20"/>
                <w:szCs w:val="20"/>
                <w:lang w:val="en-AU" w:eastAsia="en-US" w:bidi="ar-SA"/>
              </w:rPr>
              <w:t>Likelihood</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Rare</w:t>
            </w:r>
          </w:p>
        </w:tc>
        <w:tc>
          <w:tcPr>
            <w:tcW w:w="1800" w:type="dxa"/>
            <w:tcBorders/>
            <w:shd w:color="auto" w:fill="92D05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Unlikely</w:t>
            </w:r>
          </w:p>
        </w:tc>
        <w:tc>
          <w:tcPr>
            <w:tcW w:w="1800" w:type="dxa"/>
            <w:tcBorders/>
            <w:shd w:color="auto" w:fill="FFFF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Moderate</w:t>
            </w:r>
          </w:p>
        </w:tc>
        <w:tc>
          <w:tcPr>
            <w:tcW w:w="1800" w:type="dxa"/>
            <w:tcBorders/>
            <w:shd w:color="auto" w:fill="FFC000" w:themeFill="accent4"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High</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Certain</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may occur and/or if it did, it happens in specific circumstances.</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could occur occasionally and/or could happen (at some point)</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may occur and/or happens.</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occurs at times and/or probably happens a lot.</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is occurring now and/or happens frequently.</w:t>
            </w:r>
          </w:p>
        </w:tc>
      </w:tr>
    </w:tbl>
    <w:p>
      <w:pPr>
        <w:pStyle w:val="Normal"/>
        <w:rPr>
          <w:rFonts w:ascii="Century Gothic" w:hAnsi="Century Gothic" w:eastAsia="Calibri" w:cs="Calibri"/>
          <w:color w:val="000000"/>
        </w:rPr>
      </w:pPr>
      <w:r>
        <w:rPr>
          <w:rFonts w:eastAsia="Calibri" w:cs="Calibri" w:ascii="Century Gothic" w:hAnsi="Century Gothic"/>
          <w:color w:val="000000"/>
        </w:rPr>
      </w:r>
    </w:p>
    <w:p>
      <w:pPr>
        <w:pStyle w:val="Normal"/>
        <w:rPr>
          <w:color w:val="000000"/>
        </w:rPr>
      </w:pPr>
      <w:r>
        <w:rPr>
          <w:rFonts w:eastAsia="Calibri" w:cs="Calibri" w:ascii="Century Gothic" w:hAnsi="Century Gothic"/>
          <w:b/>
          <w:bCs/>
          <w:color w:val="000000"/>
          <w:sz w:val="24"/>
          <w:szCs w:val="24"/>
        </w:rPr>
        <w:t>Business Impact</w:t>
      </w:r>
    </w:p>
    <w:p>
      <w:pPr>
        <w:pStyle w:val="Normal"/>
        <w:rPr>
          <w:color w:val="000000"/>
          <w:sz w:val="22"/>
          <w:szCs w:val="22"/>
        </w:rPr>
      </w:pPr>
      <w:r>
        <w:rPr>
          <w:rFonts w:eastAsia="Calibri" w:cs="Calibri" w:ascii="Century Gothic" w:hAnsi="Century Gothic"/>
          <w:color w:val="000000"/>
          <w:sz w:val="22"/>
          <w:szCs w:val="22"/>
        </w:rPr>
        <w:t>The modified script which arises due to the insecure code can have severe business implications. It allows attackers to inject malicious scripts into web applications, compromising the security and integrity of the system. The impact includes theft of sensitive data such as student data such as grades, personal details, and academic records as well as login credentials. Moreover, This can disrupt the OnTrack operations by defacing websites, redirecting users to malicious sites, or spreading malware. Also, the stolen information can be used by attackers to conduct spear phising campaign using the leaked information</w:t>
      </w:r>
    </w:p>
    <w:p>
      <w:pPr>
        <w:pStyle w:val="Normal"/>
        <w:rPr>
          <w:color w:val="000000"/>
        </w:rPr>
      </w:pPr>
      <w:r>
        <w:rPr>
          <w:rFonts w:eastAsia="Calibri" w:cs="Calibri" w:ascii="Century Gothic" w:hAnsi="Century Gothic"/>
          <w:b/>
          <w:bCs/>
          <w:color w:val="000000"/>
          <w:sz w:val="24"/>
          <w:szCs w:val="24"/>
        </w:rPr>
        <w:t>Affected Assets</w:t>
      </w:r>
    </w:p>
    <w:p>
      <w:pPr>
        <w:pStyle w:val="BodyText"/>
        <w:numPr>
          <w:ilvl w:val="0"/>
          <w:numId w:val="2"/>
        </w:numPr>
        <w:rPr>
          <w:color w:val="000000"/>
          <w:sz w:val="22"/>
          <w:szCs w:val="22"/>
        </w:rPr>
      </w:pPr>
      <w:r>
        <w:rPr>
          <w:rFonts w:eastAsia="Calibri" w:cs="Calibri" w:ascii="Century Gothic" w:hAnsi="Century Gothic"/>
          <w:color w:val="000000"/>
          <w:sz w:val="22"/>
          <w:szCs w:val="22"/>
        </w:rPr>
        <w:t>Data assets  </w:t>
      </w:r>
    </w:p>
    <w:p>
      <w:pPr>
        <w:pStyle w:val="BodyText"/>
        <w:numPr>
          <w:ilvl w:val="0"/>
          <w:numId w:val="2"/>
        </w:numPr>
        <w:rPr>
          <w:color w:val="000000"/>
          <w:sz w:val="22"/>
          <w:szCs w:val="22"/>
        </w:rPr>
      </w:pPr>
      <w:r>
        <w:rPr>
          <w:rFonts w:eastAsia="Calibri" w:cs="Calibri" w:ascii="Century Gothic" w:hAnsi="Century Gothic"/>
          <w:color w:val="000000"/>
          <w:sz w:val="22"/>
          <w:szCs w:val="22"/>
        </w:rPr>
        <w:t>Web Application</w:t>
      </w:r>
    </w:p>
    <w:p>
      <w:pPr>
        <w:pStyle w:val="BodyText"/>
        <w:numPr>
          <w:ilvl w:val="0"/>
          <w:numId w:val="2"/>
        </w:numPr>
        <w:rPr>
          <w:color w:val="000000"/>
          <w:sz w:val="22"/>
          <w:szCs w:val="22"/>
        </w:rPr>
      </w:pPr>
      <w:r>
        <w:rPr>
          <w:rFonts w:eastAsia="Calibri" w:cs="Calibri" w:ascii="Century Gothic" w:hAnsi="Century Gothic"/>
          <w:color w:val="000000"/>
          <w:sz w:val="22"/>
          <w:szCs w:val="22"/>
        </w:rPr>
        <w:t>Server Infrastructure</w:t>
      </w:r>
    </w:p>
    <w:p>
      <w:pPr>
        <w:pStyle w:val="BodyText"/>
        <w:numPr>
          <w:ilvl w:val="0"/>
          <w:numId w:val="2"/>
        </w:numPr>
        <w:rPr>
          <w:color w:val="000000"/>
          <w:sz w:val="22"/>
          <w:szCs w:val="22"/>
        </w:rPr>
      </w:pPr>
      <w:r>
        <w:rPr>
          <w:rFonts w:eastAsia="Calibri" w:cs="Calibri" w:ascii="Century Gothic" w:hAnsi="Century Gothic"/>
          <w:color w:val="000000"/>
          <w:sz w:val="22"/>
          <w:szCs w:val="22"/>
        </w:rPr>
        <w:t>Regulatory Compliance</w:t>
      </w:r>
    </w:p>
    <w:p>
      <w:pPr>
        <w:pStyle w:val="Normal"/>
        <w:rPr>
          <w:rFonts w:ascii="Century Gothic" w:hAnsi="Century Gothic" w:eastAsia="Calibri" w:cs="Calibri"/>
          <w:b/>
          <w:bCs/>
          <w:color w:val="000000"/>
        </w:rPr>
      </w:pPr>
      <w:r>
        <w:rPr>
          <w:rFonts w:eastAsia="Calibri" w:cs="Calibri" w:ascii="Century Gothic" w:hAnsi="Century Gothic"/>
          <w:b/>
          <w:bCs/>
          <w:color w:val="000000"/>
        </w:rPr>
      </w:r>
    </w:p>
    <w:p>
      <w:pPr>
        <w:pStyle w:val="Normal"/>
        <w:rPr>
          <w:color w:val="000000"/>
        </w:rPr>
      </w:pPr>
      <w:r>
        <w:rPr>
          <w:rFonts w:eastAsia="Calibri" w:cs="Calibri" w:ascii="Century Gothic" w:hAnsi="Century Gothic"/>
          <w:b/>
          <w:bCs/>
          <w:color w:val="000000"/>
          <w:sz w:val="24"/>
          <w:szCs w:val="24"/>
        </w:rPr>
        <w:t>Remediation Advice</w:t>
      </w:r>
    </w:p>
    <w:p>
      <w:pPr>
        <w:pStyle w:val="Normal"/>
        <w:numPr>
          <w:ilvl w:val="0"/>
          <w:numId w:val="1"/>
        </w:numPr>
        <w:rPr>
          <w:color w:val="000000"/>
          <w:sz w:val="22"/>
          <w:szCs w:val="22"/>
        </w:rPr>
      </w:pPr>
      <w:r>
        <w:rPr>
          <w:rFonts w:eastAsia="Calibri" w:cs="Calibri" w:ascii="Century Gothic" w:hAnsi="Century Gothic"/>
          <w:color w:val="000000"/>
          <w:sz w:val="22"/>
          <w:szCs w:val="22"/>
        </w:rPr>
        <w:t>Create a hash of the expected artifact with algorithm like SHA512, SHA384 or SHA256. Then when its being used, we can verify the integrity of resource by cross verifying it with the expected hash</w:t>
        <w:br/>
      </w:r>
    </w:p>
    <w:p>
      <w:pPr>
        <w:pStyle w:val="Normal"/>
        <w:numPr>
          <w:ilvl w:val="0"/>
          <w:numId w:val="0"/>
        </w:numPr>
        <w:ind w:hanging="0" w:left="853"/>
        <w:rPr>
          <w:color w:val="000000"/>
          <w:sz w:val="22"/>
          <w:szCs w:val="22"/>
        </w:rPr>
      </w:pPr>
      <w:r>
        <w:rPr>
          <w:rFonts w:eastAsia="Calibri" w:cs="Calibri" w:ascii="Century Gothic" w:hAnsi="Century Gothic"/>
          <w:color w:val="000000"/>
          <w:sz w:val="22"/>
          <w:szCs w:val="22"/>
        </w:rPr>
        <w:t>script async src="</w:t>
      </w:r>
      <w:hyperlink r:id="rId4">
        <w:r>
          <w:rPr>
            <w:rStyle w:val="Hyperlink"/>
            <w:rFonts w:eastAsia="Calibri" w:cs="Calibri" w:ascii="Century Gothic" w:hAnsi="Century Gothic"/>
            <w:color w:val="000000"/>
            <w:sz w:val="22"/>
            <w:szCs w:val="22"/>
          </w:rPr>
          <w:t>https://www.googletagmanager.com/gtag/js?id=G-VJWZRWYE2C</w:t>
        </w:r>
      </w:hyperlink>
      <w:r>
        <w:rPr>
          <w:rFonts w:eastAsia="Calibri" w:cs="Calibri" w:ascii="Century Gothic" w:hAnsi="Century Gothic"/>
          <w:color w:val="000000"/>
          <w:sz w:val="22"/>
          <w:szCs w:val="22"/>
        </w:rPr>
        <w:t>"</w:t>
        <w:br/>
        <w:t>integrity= “sha384-oqVuAfXRKap7fdgcCY5uykM6+R9GqQ8K/uxy9rx7HNQlGYl1kPzQho1wx4JwY8wC”&gt;</w:t>
      </w:r>
    </w:p>
    <w:p>
      <w:pPr>
        <w:pStyle w:val="Normal"/>
        <w:rPr>
          <w:rFonts w:ascii="Century Gothic" w:hAnsi="Century Gothic" w:eastAsia="Calibri" w:cs="Calibri"/>
          <w:b/>
          <w:bCs/>
          <w:color w:val="000000"/>
          <w:sz w:val="24"/>
          <w:szCs w:val="24"/>
        </w:rPr>
      </w:pPr>
      <w:r>
        <w:rPr>
          <w:rFonts w:eastAsia="Calibri" w:cs="Calibri" w:ascii="Century Gothic" w:hAnsi="Century Gothic"/>
          <w:b/>
          <w:bCs/>
          <w:color w:val="000000"/>
          <w:sz w:val="24"/>
          <w:szCs w:val="24"/>
        </w:rPr>
      </w:r>
    </w:p>
    <w:p>
      <w:pPr>
        <w:pStyle w:val="Normal"/>
        <w:rPr>
          <w:color w:val="000000"/>
        </w:rPr>
      </w:pPr>
      <w:r>
        <w:rPr>
          <w:rFonts w:eastAsia="Calibri" w:cs="Calibri" w:ascii="Century Gothic" w:hAnsi="Century Gothic"/>
          <w:b/>
          <w:bCs/>
          <w:color w:val="000000"/>
          <w:sz w:val="24"/>
          <w:szCs w:val="24"/>
        </w:rPr>
        <w:t>Contact Details</w:t>
      </w:r>
    </w:p>
    <w:p>
      <w:pPr>
        <w:pStyle w:val="Normal"/>
        <w:rPr>
          <w:color w:val="000000"/>
        </w:rPr>
      </w:pPr>
      <w:r>
        <w:rPr>
          <w:rFonts w:eastAsia="Calibri" w:cs="Calibri" w:ascii="Century Gothic" w:hAnsi="Century Gothic"/>
          <w:color w:val="000000"/>
          <w:sz w:val="24"/>
          <w:szCs w:val="24"/>
        </w:rPr>
        <w:t>Pushkar Goel – s222162584@deakin.edu.au</w:t>
      </w:r>
    </w:p>
    <w:p>
      <w:pPr>
        <w:pStyle w:val="Normal"/>
        <w:rPr>
          <w:rFonts w:ascii="Century Gothic" w:hAnsi="Century Gothic" w:eastAsia="Calibri" w:cs="Calibri"/>
          <w:b/>
          <w:bCs/>
          <w:color w:val="000000"/>
          <w:sz w:val="24"/>
          <w:szCs w:val="24"/>
        </w:rPr>
      </w:pPr>
      <w:r>
        <w:rPr>
          <w:rFonts w:eastAsia="Calibri" w:cs="Calibri" w:ascii="Century Gothic" w:hAnsi="Century Gothic"/>
          <w:b/>
          <w:bCs/>
          <w:color w:val="000000"/>
          <w:sz w:val="24"/>
          <w:szCs w:val="24"/>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Secure Code Review Leader Feedback.</w:t>
      </w:r>
    </w:p>
    <w:p>
      <w:pPr>
        <w:pStyle w:val="Normal"/>
        <w:bidi w:val="0"/>
        <w:spacing w:beforeAutospacing="0" w:before="0" w:afterAutospacing="0" w:after="160"/>
        <w:jc w:val="left"/>
        <w:rPr>
          <w:rFonts w:ascii="Century Gothic" w:hAnsi="Century Gothic" w:eastAsia="Century Gothic" w:cs="Century Gothic"/>
          <w:color w:val="7030A0"/>
          <w:sz w:val="24"/>
          <w:szCs w:val="24"/>
          <w:lang w:val="en-US"/>
        </w:rPr>
      </w:pPr>
      <w:r>
        <w:rPr>
          <w:rFonts w:eastAsia="Century Gothic" w:cs="Century Gothic" w:ascii="Century Gothic" w:hAnsi="Century Gothic"/>
          <w:color w:val="7030A0"/>
          <w:sz w:val="24"/>
          <w:szCs w:val="24"/>
          <w:lang w:val="en-U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entury Gothic">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53"/>
        </w:tabs>
        <w:ind w:left="853" w:hanging="360"/>
      </w:pPr>
      <w:rPr>
        <w:rFonts w:ascii="Symbol" w:hAnsi="Symbol" w:cs="Symbol"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AYCE0NLI0NLYwtLSwNzcyUdpeDU4uLM/DyQAsNaAE7+oj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35ee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ca27d7"/>
    <w:rPr/>
  </w:style>
  <w:style w:type="character" w:styleId="FooterChar" w:customStyle="1">
    <w:name w:val="Footer Char"/>
    <w:basedOn w:val="DefaultParagraphFont"/>
    <w:link w:val="Footer"/>
    <w:uiPriority w:val="99"/>
    <w:qFormat/>
    <w:rsid w:val="00ca27d7"/>
    <w:rPr/>
  </w:style>
  <w:style w:type="character" w:styleId="Heading1Char" w:customStyle="1">
    <w:name w:val="Heading 1 Char"/>
    <w:basedOn w:val="DefaultParagraphFont"/>
    <w:link w:val="Heading1"/>
    <w:uiPriority w:val="9"/>
    <w:qFormat/>
    <w:rsid w:val="00f35ee7"/>
    <w:rPr>
      <w:rFonts w:ascii="Calibri Light" w:hAnsi="Calibri Light" w:eastAsia="" w:cs="" w:asciiTheme="majorHAnsi" w:cstheme="majorBidi" w:eastAsiaTheme="majorEastAsia" w:hAnsiTheme="majorHAnsi"/>
      <w:color w:themeColor="accent1" w:themeShade="bf" w:val="2F5496"/>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ca27d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27d7"/>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googletagmanager.com/gtag/js?id=G-VJWZRWYE2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file>

<file path=docProps/app.xml><?xml version="1.0" encoding="utf-8"?>
<Properties xmlns="http://schemas.openxmlformats.org/officeDocument/2006/extended-properties" xmlns:vt="http://schemas.openxmlformats.org/officeDocument/2006/docPropsVTypes">
  <Template>Normal</Template>
  <TotalTime>16</TotalTime>
  <Application>LibreOffice/24.2.1.2$Windows_X86_64 LibreOffice_project/db4def46b0453cc22e2d0305797cf981b68ef5ac</Application>
  <AppVersion>15.0000</AppVersion>
  <Pages>3</Pages>
  <Words>504</Words>
  <Characters>2846</Characters>
  <CharactersWithSpaces>3292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2023-07-10T16:35:00Z</dcterms:created>
  <dc:creator>JARROD WIGG</dc:creator>
  <dc:description/>
  <dc:language>en-AU</dc:language>
  <cp:lastModifiedBy/>
  <dcterms:modified xsi:type="dcterms:W3CDTF">2024-05-19T15:06:59Z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0x010100B7071D4685B725449ABC17ABA1110B70</vt:lpwstr>
  </property>
  <property fmtid="{D5CDD505-2E9C-101B-9397-08002B2CF9AE}" pid="4" name="MediaServiceImageTags">
    <vt:lpwstr/>
  </property>
  <property fmtid="{D5CDD505-2E9C-101B-9397-08002B2CF9AE}" pid="5" name="Order">
    <vt:r8>258900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