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DAIS Strategy Guide</w:t>
      </w:r>
    </w:p>
    <w:p>
      <w:r>
        <w:t>This document describes the current configuration and core rules of the DAIS engine.</w:t>
      </w:r>
    </w:p>
    <w:p>
      <w:pPr>
        <w:pStyle w:val="Heading2"/>
      </w:pPr>
      <w:r>
        <w:t>Configuration</w:t>
      </w:r>
    </w:p>
    <w:p>
      <w:r>
        <w:t>Tickers: JEPI, DGRO, SCHD, VYM, KBWY</w:t>
      </w:r>
    </w:p>
    <w:p>
      <w:r>
        <w:t>Benchmark: SPY</w:t>
      </w:r>
    </w:p>
    <w:p>
      <w:r>
        <w:t>Period (years): 2</w:t>
      </w:r>
    </w:p>
    <w:p>
      <w:r>
        <w:t>Initial Capital: 300</w:t>
      </w:r>
    </w:p>
    <w:p>
      <w:r>
        <w:t>Core Buy Amount: 100</w:t>
      </w:r>
    </w:p>
    <w:p>
      <w:r>
        <w:t>Base Buy: 5</w:t>
      </w:r>
    </w:p>
    <w:p>
      <w:r>
        <w:t>Base Sell: 10</w:t>
      </w:r>
    </w:p>
    <w:p>
      <w:r>
        <w:t>Inventory Floor: 60</w:t>
      </w:r>
    </w:p>
    <w:p>
      <w:r>
        <w:t>Beta Default: 1.0</w:t>
      </w:r>
    </w:p>
    <w:p>
      <w:pPr>
        <w:pStyle w:val="Heading2"/>
      </w:pPr>
      <w:r>
        <w:t>True Beta Engine</w:t>
      </w:r>
    </w:p>
    <w:p>
      <w:r>
        <w:t>DAIS uses a blended true beta computed from multiple windows and methods, then passed into the engine to scale buy and sell activity.</w:t>
      </w:r>
    </w:p>
    <w:p>
      <w:pPr>
        <w:pStyle w:val="Heading2"/>
      </w:pPr>
      <w:r>
        <w:t>Sell Discipline Rules</w:t>
      </w:r>
    </w:p>
    <w:p>
      <w:r>
        <w:t>1. Never sell below the 20-day moving average (MA20).</w:t>
      </w:r>
    </w:p>
    <w:p>
      <w:r>
        <w:t>2. Never sell below the current average cost basis.</w:t>
      </w:r>
    </w:p>
    <w:p>
      <w:r>
        <w:t>These rules enforce trend-aligned exits and prevent selling into weakness or at a loss, except when forced by inventory constraints.</w:t>
      </w:r>
    </w:p>
    <w:p>
      <w:pPr>
        <w:pStyle w:val="Heading2"/>
      </w:pPr>
      <w:r>
        <w:t>Trade Detection and Reporting</w:t>
      </w:r>
    </w:p>
    <w:p>
      <w:r>
        <w:t>Buys and sells are inferred from changes in inventory over time, and are visualized in charts and summarized in the reporting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