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E293B"/>
          <w:sz w:val="48"/>
        </w:rPr>
        <w:t>DAIS Platform: Intraday Operational Manual</w:t>
      </w:r>
    </w:p>
    <w:p>
      <w:r>
        <w:rPr>
          <w:rFonts w:ascii="Arial" w:hAnsi="Arial"/>
          <w:i/>
          <w:color w:val="475569"/>
          <w:sz w:val="20"/>
        </w:rPr>
        <w:t>System Deployment Ledger: 2026-06-11 | Execution Granularity: 5m Bars</w:t>
      </w:r>
    </w:p>
    <w:p>
      <w:r>
        <w:rPr>
          <w:b/>
          <w:color w:val="0284C7"/>
          <w:sz w:val="32"/>
        </w:rPr>
        <w:t>1. Algorithmic Infrastructure Core Summary</w:t>
      </w:r>
    </w:p>
    <w:p>
      <w:r>
        <w:t>The Dynamic Asymmetric Inventory‑Aware Strategy (DAIS) platform operates as a high-frequency execution framework designed to capture short-term micro-momentum anomalies while preserving core underlying dividend distribution profiles. By using a vectorized tracking loop, the system dynamically scales position structures up or down based on real-time asset beta evaluations and directional moving average crossovers.</w:t>
      </w:r>
    </w:p>
    <w:p>
      <w:r>
        <w:rPr>
          <w:b/>
          <w:color w:val="0284C7"/>
          <w:sz w:val="32"/>
        </w:rPr>
        <w:t>2. Active Production Variable Configuration</w:t>
      </w:r>
    </w:p>
    <w:p>
      <w:r>
        <w:t>The following matrix displays the active parameter limits parsed directly from config.yaml: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xmlns:w="http://openxmlformats.org" w:fill="1E293B"/>
          </w:tcPr>
          <w:p>
            <w:r>
              <w:rPr>
                <w:b/>
                <w:color w:val="FFFFFF"/>
                <w:sz w:val="22"/>
              </w:rPr>
              <w:t>Configuration Key Name</w:t>
            </w:r>
          </w:p>
        </w:tc>
        <w:tc>
          <w:tcPr>
            <w:tcW w:type="dxa" w:w="4680"/>
            <w:shd xmlns:w="http://openxmlformats.org" w:fill="1E293B"/>
          </w:tcPr>
          <w:p>
            <w:r>
              <w:rPr>
                <w:b/>
                <w:color w:val="FFFFFF"/>
                <w:sz w:val="22"/>
              </w:rPr>
              <w:t>Active Parsed Runtime Limit Value</w:t>
            </w:r>
          </w:p>
        </w:tc>
      </w:tr>
      <w:tr>
        <w:tc>
          <w:tcPr>
            <w:tcW w:type="dxa" w:w="4680"/>
          </w:tcPr>
          <w:p>
            <w:r>
              <w:t>initial_capital</w:t>
            </w:r>
          </w:p>
        </w:tc>
        <w:tc>
          <w:tcPr>
            <w:tcW w:type="dxa" w:w="4680"/>
          </w:tcPr>
          <w:p>
            <w:r>
              <w:t>1000.0</w:t>
            </w:r>
          </w:p>
        </w:tc>
      </w:tr>
      <w:tr>
        <w:tc>
          <w:tcPr>
            <w:tcW w:type="dxa" w:w="4680"/>
          </w:tcPr>
          <w:p>
            <w:r>
              <w:t>slippage_bps</w:t>
            </w:r>
          </w:p>
        </w:tc>
        <w:tc>
          <w:tcPr>
            <w:tcW w:type="dxa" w:w="4680"/>
          </w:tcPr>
          <w:p>
            <w:r>
              <w:t>0.0002</w:t>
            </w:r>
          </w:p>
        </w:tc>
      </w:tr>
      <w:tr>
        <w:tc>
          <w:tcPr>
            <w:tcW w:type="dxa" w:w="4680"/>
          </w:tcPr>
          <w:p>
            <w:r>
              <w:t>short_window</w:t>
            </w:r>
          </w:p>
        </w:tc>
        <w:tc>
          <w:tcPr>
            <w:tcW w:type="dxa" w:w="4680"/>
          </w:tcPr>
          <w:p>
            <w:r>
              <w:t>9</w:t>
            </w:r>
          </w:p>
        </w:tc>
      </w:tr>
      <w:tr>
        <w:tc>
          <w:tcPr>
            <w:tcW w:type="dxa" w:w="4680"/>
          </w:tcPr>
          <w:p>
            <w:r>
              <w:t>long_window</w:t>
            </w:r>
          </w:p>
        </w:tc>
        <w:tc>
          <w:tcPr>
            <w:tcW w:type="dxa" w:w="4680"/>
          </w:tcPr>
          <w:p>
            <w:r>
              <w:t>21</w:t>
            </w:r>
          </w:p>
        </w:tc>
      </w:tr>
      <w:tr>
        <w:tc>
          <w:tcPr>
            <w:tcW w:type="dxa" w:w="4680"/>
          </w:tcPr>
          <w:p>
            <w:r>
              <w:t>force_flat_at_close</w:t>
            </w:r>
          </w:p>
        </w:tc>
        <w:tc>
          <w:tcPr>
            <w:tcW w:type="dxa" w:w="4680"/>
          </w:tcPr>
          <w:p>
            <w:r>
              <w:t>True</w:t>
            </w:r>
          </w:p>
        </w:tc>
      </w:tr>
    </w:tbl>
    <w:p/>
    <w:p>
      <w:r>
        <w:rPr>
          <w:b/>
          <w:color w:val="0284C7"/>
          <w:sz w:val="32"/>
        </w:rPr>
        <w:t>3. Risk Control Execution Directives</w:t>
      </w:r>
    </w:p>
    <w:p>
      <w:pPr>
        <w:pStyle w:val="ListBullet"/>
      </w:pPr>
      <w:r>
        <w:t>Hard Trend Line Stop: Open orders are locked out if the executing ticker falls beneath its intraday moving average line.</w:t>
      </w:r>
    </w:p>
    <w:p>
      <w:pPr>
        <w:pStyle w:val="ListBullet"/>
      </w:pPr>
      <w:r>
        <w:t>Cost Basis Tracking Shield: Sells are automatically rejected if the current market execution fill price drops below average position cost.</w:t>
      </w:r>
    </w:p>
    <w:p>
      <w:pPr>
        <w:pStyle w:val="ListBullet"/>
      </w:pPr>
      <w:r>
        <w:t>Session Liquidation Window: If force_flat_at_close is set to True, the system liquidates open inventory blocks before the close to eliminate overnight pricing gaps.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