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Live with Intention</w:t>
      </w:r>
    </w:p>
    <w:p>
      <w:pPr>
        <w:jc w:val="center"/>
      </w:pPr>
      <w:r>
        <w:rPr>
          <w:sz w:val="28"/>
        </w:rPr>
        <w:t>By Darryl Elliott Brown</w:t>
      </w:r>
    </w:p>
    <w:p>
      <w:r>
        <w:br w:type="page"/>
      </w:r>
    </w:p>
    <w:p>
      <w:pPr>
        <w:pStyle w:val="Title"/>
      </w:pPr>
      <w:r>
        <w:t>How to Live with Intention</w:t>
      </w:r>
    </w:p>
    <w:p>
      <w:r>
        <w:t>**By Darryl Elliott Brown**</w:t>
      </w:r>
    </w:p>
    <w:p>
      <w:r>
        <w:t>---</w:t>
      </w:r>
    </w:p>
    <w:p>
      <w:r>
        <w:t>A guide to how to live with intention,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