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Build Vision</w:t>
      </w:r>
    </w:p>
    <w:p>
      <w:pPr>
        <w:jc w:val="center"/>
      </w:pPr>
      <w:r>
        <w:rPr>
          <w:sz w:val="28"/>
        </w:rPr>
        <w:t>By Darryl Elliott Brown</w:t>
      </w:r>
    </w:p>
    <w:p>
      <w:r>
        <w:br w:type="page"/>
      </w:r>
    </w:p>
    <w:p>
      <w:pPr>
        <w:pStyle w:val="Title"/>
      </w:pPr>
      <w:r>
        <w:t>How to Build Vision</w:t>
      </w:r>
    </w:p>
    <w:p>
      <w:r>
        <w:t>**By Darryl Elliott Brown**</w:t>
      </w:r>
    </w:p>
    <w:p>
      <w:r>
        <w:t>---</w:t>
      </w:r>
    </w:p>
    <w:p>
      <w:r>
        <w:t>A guide to how to build vision,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