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Structure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00175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2452" r="32075" t="3340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Admin Role (Static)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Fixed number of admins only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Supervisor Role (Dynamic)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Planning to accommodate more supervisors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Admins (3)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AIR Dhairya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AIR Darsh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AIR Aayushi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Supervisor(7)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Design Supervisor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Manufacturing Supervisor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Building Supervisor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Testing Supervisor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Sales Supervisor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Maintenance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Finance Supervisor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Employees(374)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Design (19)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Manufacturing (39)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Building (102)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Testing (57)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Sales (41)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Maintenance (53)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Finance (65)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Policy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 Policy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Provisioning Policy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Policy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Implementation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Creation of Separation of duty policy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Creation of Adoption policy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