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12"/>
        </w:pBdr>
        <w:spacing w:after="0" w:before="1200"/>
      </w:pPr>
      <w:r>
        <w:rPr>
          <w:b/>
          <w:bCs/>
          <w:color w:val="2E75B6"/>
          <w:sz w:val="22"/>
          <w:szCs w:val="22"/>
        </w:rPr>
        <w:t xml:space="preserve">Enterprise Log Intelligence Platform</w:t>
      </w:r>
    </w:p>
    <w:p>
      <w:pPr>
        <w:spacing w:after="60" w:before="380"/>
      </w:pPr>
      <w:r>
        <w:rPr>
          <w:b/>
          <w:bCs/>
          <w:color w:val="1F3864"/>
          <w:sz w:val="50"/>
          <w:szCs w:val="50"/>
        </w:rPr>
        <w:t xml:space="preserve">Technical Design Document</w:t>
      </w:r>
    </w:p>
    <w:p>
      <w:pPr>
        <w:spacing w:after="300"/>
      </w:pPr>
      <w:r>
        <w:rPr>
          <w:color w:val="595959"/>
          <w:sz w:val="28"/>
          <w:szCs w:val="28"/>
        </w:rPr>
        <w:t xml:space="preserve">Agentic Root-Cause-Analysis Engine</w:t>
      </w:r>
    </w:p>
    <w:p>
      <w:pPr>
        <w:spacing w:after="280" w:before="120"/>
      </w:pPr>
      <w:r>
        <w:rPr>
          <w:i/>
          <w:iCs/>
          <w:color w:val="404040"/>
          <w:sz w:val="21"/>
          <w:szCs w:val="21"/>
        </w:rPr>
        <w:t xml:space="preserve">Design for an engine that lets on-call engineers diagnose outages by asking plain-English questions over high-volume, multi-tenant log streams — returning a cited, causally-ordered root cause rather than a wall of matching log lines.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700"/>
        <w:gridCol w:w="6660"/>
      </w:tblGrid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Log Intelligence Platform — Root Cause Analysis Engine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Design Document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TDD-RCA-001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Issued for review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/ Author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Darshak Kakani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Intended audience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Engineering · Site Reliability · Applied AI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100" w:before="280"/>
      </w:pPr>
      <w:r>
        <w:rPr>
          <w:b/>
          <w:bCs/>
          <w:color w:val="1F3864"/>
          <w:sz w:val="20"/>
          <w:szCs w:val="20"/>
        </w:rPr>
        <w:t xml:space="preserve">Revision history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100"/>
        <w:gridCol w:w="1700"/>
        <w:gridCol w:w="2400"/>
        <w:gridCol w:w="416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16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18 June 2026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Darshak Kakani</w:t>
            </w:r>
          </w:p>
        </w:tc>
        <w:tc>
          <w:tcPr>
            <w:tcW w:type="dxa" w:w="41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Initial design, prototype and validation against both incident scenarios.</w:t>
            </w:r>
          </w:p>
        </w:tc>
      </w:tr>
    </w:tbl>
    <w:p>
      <w:pPr>
        <w:spacing w:before="360"/>
      </w:pPr>
      <w:r>
        <w:rPr>
          <w:i/>
          <w:iCs/>
          <w:color w:val="595959"/>
          <w:sz w:val="18"/>
          <w:szCs w:val="18"/>
        </w:rPr>
        <w:t xml:space="preserve">Confidential. For internal review only.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rPr>
          <w:b/>
          <w:bCs/>
        </w:rPr>
        <w:t xml:space="preserve">What this is. </w:t>
      </w:r>
      <w:r>
        <w:t xml:space="preserve">The design for the Root-Cause-Analysis (RCA) engine inside an enterprise log-intelligence platform. During a live incident an engineer asks a question in plain English — </w:t>
      </w:r>
      <w:r>
        <w:rPr>
          <w:rFonts w:ascii="Consolas" w:cs="Consolas" w:eastAsia="Consolas" w:hAnsi="Consolas"/>
          <w:sz w:val="19"/>
          <w:szCs w:val="19"/>
        </w:rPr>
        <w:t xml:space="preserve">“What caused the 503s for TENANT-X around 16:10?”</w:t>
      </w:r>
      <w:r>
        <w:t xml:space="preserve"> — and the engine answers with a </w:t>
      </w:r>
      <w:r>
        <w:rPr>
          <w:b/>
          <w:bCs/>
        </w:rPr>
        <w:t xml:space="preserve">cited, causally-ordered root cause</w:t>
      </w:r>
      <w:r>
        <w:t xml:space="preserve">, not a page of matching log lines.</w:t>
      </w:r>
    </w:p>
    <w:p>
      <w:pPr>
        <w:spacing w:after="140" w:line="276"/>
      </w:pPr>
      <w:r>
        <w:rPr>
          <w:b/>
          <w:bCs/>
        </w:rPr>
        <w:t xml:space="preserve">The core problem. </w:t>
      </w:r>
      <w:r>
        <w:t xml:space="preserve">In a multi-tenant platform the true cause of an outage is almost always a </w:t>
      </w:r>
      <w:r>
        <w:rPr>
          <w:b/>
          <w:bCs/>
        </w:rPr>
        <w:t xml:space="preserve">rare, low-volume event</w:t>
      </w:r>
      <w:r>
        <w:t xml:space="preserve"> that is buried under a flood of high-volume </w:t>
      </w:r>
      <w:r>
        <w:rPr>
          <w:i/>
          <w:iCs/>
        </w:rPr>
        <w:t xml:space="preserve">symptoms</w:t>
      </w:r>
      <w:r>
        <w:t xml:space="preserve"> — and often under an unrelated neighbour tenant's noise. A naïve “index everything and let an LLM read it” approach drowns in that volume: the repeated symptoms dominate both the retrieved context and any vector search, and the one line that matters is never seen.</w:t>
      </w:r>
    </w:p>
    <w:p>
      <w:pPr>
        <w:spacing w:after="140" w:line="276"/>
      </w:pPr>
      <w:r>
        <w:rPr>
          <w:b/>
          <w:bCs/>
        </w:rPr>
        <w:t xml:space="preserve">The approach. </w:t>
      </w:r>
      <w:r>
        <w:t xml:space="preserve">Put a deterministic reduction stage in front of the model. Partitioning by tenant, mining log templates, ranking by rarity and ordering by time collapse ~5,000 lines to roughly ten cited rows </w:t>
      </w:r>
      <w:r>
        <w:rPr>
          <w:b/>
          <w:bCs/>
        </w:rPr>
        <w:t xml:space="preserve">before a single token is spent</w:t>
      </w:r>
      <w:r>
        <w:t xml:space="preserve">. The LLM is then used only for what it is uniquely good at — understanding the question and writing a readable, grounded explanation. Causality itself is computed, not guessed.</w:t>
      </w:r>
    </w:p>
    <w:p>
      <w:pPr>
        <w:spacing w:after="140" w:line="276"/>
      </w:pPr>
      <w:r>
        <w:rPr>
          <w:b/>
          <w:bCs/>
        </w:rPr>
        <w:t xml:space="preserve">Result. </w:t>
      </w:r>
      <w:r>
        <w:t xml:space="preserve">Both required validation scenarios are answered correctly, including the case where the decisive evidence is a single line among thousands. The engine works end-to-end even with no LLM available (a deterministic narrative), and when a model is configured every generated sentence is verified against retrieved evidence before it is shown.</w:t>
      </w:r>
    </w:p>
    <w:p>
      <w:pPr>
        <w:pStyle w:val="Heading2"/>
      </w:pPr>
      <w:r>
        <w:t xml:space="preserve">1.1 How this document is organised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from the brief</w:t>
            </w:r>
          </w:p>
        </w:tc>
        <w:tc>
          <w:tcPr>
            <w:tcW w:type="dxa" w:w="39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Addressed in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1 — Data ingestion, parsing &amp; representation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2 — Agentic diagnostics &amp; evidence retrieval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1 — chronological trigger extraction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§5.2, §10.1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2 — high-volume noise demultiplexing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§5.3, §10.2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Deterministic vs LLM boundary; performance/cost trade-offs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§6, §8.2, §8.3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lineage, hallucination prevention, context limits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§9.6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Alternatives weighed and rejected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BYOK, dependency minimisation, free/OSS stack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§13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Problem Statement &amp; Context</w:t>
      </w:r>
    </w:p>
    <w:p>
      <w:pPr>
        <w:spacing w:after="140" w:line="276"/>
      </w:pPr>
      <w:r>
        <w:t xml:space="preserve">During a production incident, the scarcest resource is the responder's attention. The platform ingests high-volume, interleaved log streams from many tenants; when something breaks, the volume does not help — it actively hides the cause. Three properties of the domain make this hard, and the design is shaped by all three: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Cause is rare; symptoms are loud. </w:t>
      </w:r>
      <w:r>
        <w:t xml:space="preserve">A single connection-pool timeout can trip a circuit breaker and emit hundreds of identical downstream 503s in seconds. The hundreds are noise; the one is the answer. Frequency is inversely correlated with diagnostic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Tenants are interleaved. </w:t>
      </w:r>
      <w:r>
        <w:t xml:space="preserve">One tenant's volumetric event (e.g. an authentication rate-limit flood) can outnumber another tenant's critical-but-quiet failure by an order of magnitude in the same time window, on the same lines. Without hard isolation, the loud tenant masks the quiet 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Responders think in questions, not queries. </w:t>
      </w:r>
      <w:r>
        <w:t xml:space="preserve">An engineer wants to ask “what caused this?”, not hand-craft a log query language under pressure — and they need an answer they can trust and act on, with the evidence attached.</w:t>
      </w:r>
    </w:p>
    <w:p>
      <w:pPr>
        <w:spacing w:after="140" w:line="276"/>
      </w:pPr>
      <w:r>
        <w:rPr>
          <w:b/>
          <w:bCs/>
        </w:rPr>
        <w:t xml:space="preserve">Goal restated. </w:t>
      </w:r>
      <w:r>
        <w:t xml:space="preserve">Reduce time-to-diagnosis by turning a natural-language question into a verifiable causal chain — distinguishing the historical trigger from its downstream symptoms — while remaining robust to volume, multi-tenant noise, and the imperfect information in the question itself (for example an approximate or wrong timestamp).</w:t>
      </w:r>
    </w:p>
    <w:p>
      <w:pPr>
        <w:pStyle w:val="Heading1"/>
      </w:pPr>
      <w:r>
        <w:t xml:space="preserve">3. Goals &amp; Non-Goals</w:t>
      </w:r>
    </w:p>
    <w:p>
      <w:pPr>
        <w:pStyle w:val="Heading3"/>
      </w:pPr>
      <w:r>
        <w:t xml:space="preserve">In scope (goals)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Natural-language incident questions answered with a cited, causally-ordered root cause.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Strict isolation of the queried tenant from all other tenants' traffic and noise.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Reliable separation of the low-frequency trigger from high-frequency downstream symptoms.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Verifiable data lineage: every claim traces to a specific log line; no fabricated facts.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Bounded, predictable cost and latency that fit free-tier LLM quotas and a single laptop.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Graceful degradation: a correct answer even when no LLM is available.</w:t>
      </w:r>
    </w:p>
    <w:p>
      <w:pPr>
        <w:pStyle w:val="Heading3"/>
      </w:pPr>
      <w:r>
        <w:t xml:space="preserve">Out of scope (non-goals, for this iteration)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production ingestion fabric (Kafka, autoscaling, retention tiers) — addressed as a roadmap in §12.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Cross-incident learning / historical RCA knowledge base — a natural follow-on, not required here.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Alerting, ticketing and remediation actions — the engine explains; it does not act.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Fine-tuning or training models — the design is deliberately model-agnostic and BYOK.</w:t>
      </w:r>
    </w:p>
    <w:p>
      <w:pPr>
        <w:pStyle w:val="Heading1"/>
      </w:pPr>
      <w:r>
        <w:t xml:space="preserve">4. Requirements</w:t>
      </w:r>
    </w:p>
    <w:p>
      <w:pPr>
        <w:pStyle w:val="Heading2"/>
      </w:pPr>
      <w:r>
        <w:t xml:space="preserve">4.1 Functional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 heterogeneous, multi-tenant log files and normalise them to a queryable schema.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 a natural-language question into tenant, intent, symptom terms and any time hint.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 the candidate root cause and supporting evidence for the queried tenant.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Classify events into trigger, transition, precursor and symptom, and order them causally.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a narrative that cites each claim to a concrete log line, plus the raw evidence.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Explicitly identify and exclude unrelated, concurrent noise from other tenants.</w:t>
            </w:r>
          </w:p>
        </w:tc>
      </w:tr>
    </w:tbl>
    <w:p>
      <w:pPr>
        <w:pStyle w:val="Heading2"/>
      </w:pPr>
      <w:r>
        <w:t xml:space="preserve">4.2 Non-functional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/ decision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Isolation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is a hard filter on every retrieval path; one tenant's volume cannot affect another.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 + index a 5k-line file in well under a second; one investigation ≈ a handful of LLM calls.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Single-pass O(n) ingestion; linear in log size, CPU-only.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Fits free-tier quotas (e.g. 15 req/min, 1,500/day); embeddings run locally and free.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Trustworthiness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uncited claims; causal ordering is a checkable invariant, not model opinion.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 / BYOK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a laptop; keys from environment only; provider is swappable.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the LLM is rate-limited or absent, the engine still returns a correct deterministic answer.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The Data, Read First</w:t>
      </w:r>
    </w:p>
    <w:p>
      <w:pPr>
        <w:spacing w:after="140" w:line="276"/>
      </w:pPr>
      <w:r>
        <w:t xml:space="preserve">Good design here follows from reading the actual logs, not from a generic template. Both supplied files were analysed line by line; the signal-to-noise structure below is what the architecture is built to exploit.</w:t>
      </w:r>
    </w:p>
    <w:p>
      <w:pPr>
        <w:pStyle w:val="Heading2"/>
      </w:pPr>
      <w:r>
        <w:t xml:space="preserve">5.1 Shared grammar</w:t>
      </w:r>
    </w:p>
    <w:p>
      <w:pPr>
        <w:spacing w:after="140" w:line="276"/>
      </w:pPr>
      <w:r>
        <w:t xml:space="preserve">Both files share one regular grammar, which makes deterministic parsing trivial and removes any need for an LLM in the parsing path: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&lt;ISO-8601 ts&gt; [TENANT-ID] &lt;LEVEL&gt; [&lt;java.logger.Component&gt;] &lt;message&gt;</w:t>
      </w:r>
    </w:p>
    <w:p>
      <w:pPr>
        <w:pBdr>
          <w:left w:val="single" w:color="2E75B6" w:sz="18" w:space="8"/>
        </w:pBdr>
        <w:shd w:fill="F2F2F2" w:val="clear"/>
        <w:spacing w:after="160" w:line="252"/>
      </w:pPr>
      <w:r>
        <w:rPr>
          <w:rFonts w:ascii="Consolas" w:cs="Consolas" w:eastAsia="Consolas" w:hAnsi="Consolas"/>
          <w:sz w:val="18"/>
          <w:szCs w:val="18"/>
        </w:rPr>
        <w:t xml:space="preserve">        (+ optional indented "    at com.x.Y(File.java:NN)" stack-trace lines)</w:t>
      </w:r>
    </w:p>
    <w:p>
      <w:pPr>
        <w:spacing w:after="140" w:line="276"/>
      </w:pPr>
      <w:r>
        <w:t xml:space="preserve">Measured: </w:t>
      </w:r>
      <w:r>
        <w:rPr>
          <w:b/>
          <w:bCs/>
        </w:rPr>
        <w:t xml:space="preserve">100% of lines parse with a single regular expression</w:t>
      </w:r>
      <w:r>
        <w:t xml:space="preserve"> (zero unparsed fallbacks across 10,000 lines). Multi-line stack traces are coalesced into their parent event so they are never mistaken for separate records — and the trace itself becomes part of the cited evidence.</w:t>
      </w:r>
    </w:p>
    <w:p>
      <w:pPr>
        <w:pStyle w:val="Heading2"/>
      </w:pPr>
      <w:r>
        <w:t xml:space="preserve">5.2 Scenario 1 — production_incident_01.log (12:00:00–12:04:34)</w:t>
      </w:r>
    </w:p>
    <w:p>
      <w:pPr>
        <w:spacing w:after="140" w:line="276"/>
      </w:pPr>
      <w:r>
        <w:t xml:space="preserve">Out of 5,003 lines, the true story is roughly 27. The cause is a single line; the symptoms are 237 lines that arrive after it: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450"/>
        <w:gridCol w:w="3360"/>
        <w:gridCol w:w="1750"/>
        <w:gridCol w:w="850"/>
        <w:gridCol w:w="1950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First seen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Precursor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pool utilization &gt; 90% (WARN)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db.DataSource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12:02:55.540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 TRIGGER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pool.ConnectionTimeoutException (+ trace)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db.DataSource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12:02:58.378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CircuitBreaker CLOSED → OPEN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circuit.Breaker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12:02:58.408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Symptom flood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503 Service Unavailable, breaker OPEN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gateway.Ingress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237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12:02:58.661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The “16:10” trap. </w:t>
      </w:r>
      <w:r>
        <w:t xml:space="preserve">The sample question says “around 16:10”, but the incident is at 12:02. A system that hard-filters on the stated clock time finds nothing. The design therefore anchors retrieval on the </w:t>
      </w:r>
      <w:r>
        <w:rPr>
          <w:b/>
          <w:bCs/>
        </w:rPr>
        <w:t xml:space="preserve">symptom signature</w:t>
      </w:r>
      <w:r>
        <w:t xml:space="preserve"> and scans the tenant's whole timeline — the time hint is advisory, never a blind filter.</w:t>
      </w:r>
    </w:p>
    <w:p>
      <w:pPr>
        <w:pStyle w:val="Heading2"/>
      </w:pPr>
      <w:r>
        <w:t xml:space="preserve">5.3 Scenario 2 — auth_rate_limit_noise.log (14:00–14:02)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250"/>
        <w:gridCol w:w="1450"/>
        <w:gridCol w:w="950"/>
        <w:gridCol w:w="571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71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content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TENANT-Y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Noise flood</w:t>
            </w:r>
          </w:p>
        </w:tc>
        <w:tc>
          <w:tcPr>
            <w:tcW w:type="dxa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2,399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1,799 × 429 Too Many Requests + ~600 rate-limit WARNs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TENANT-Z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Silent victim</w:t>
            </w:r>
          </w:p>
        </w:tc>
        <w:tc>
          <w:tcPr>
            <w:tcW w:type="dxa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 benign INFO + exactly 2 needles: ERROR token-validation timeout (14:01:07.787) and WARN SLA breach 2500ms</w:t>
            </w:r>
          </w:p>
        </w:tc>
      </w:tr>
    </w:tbl>
    <w:p>
      <w:pPr>
        <w:spacing w:after="140" w:line="276"/>
      </w:pPr>
      <w:r>
        <w:t xml:space="preserve">The needle is </w:t>
      </w:r>
      <w:r>
        <w:rPr>
          <w:b/>
          <w:bCs/>
        </w:rPr>
        <w:t xml:space="preserve">two lines among 5,002</w:t>
      </w:r>
      <w:r>
        <w:t xml:space="preserve">, sitting between TENANT-Y's 429 lines. Embedding every line would make TENANT-Y's 1,799 near-identical vectors a dense cluster that dominates any similarity search — the exact failure mode the design must prevent.</w:t>
      </w:r>
    </w:p>
    <w:p>
      <w:pPr>
        <w:pStyle w:val="Heading2"/>
      </w:pPr>
      <w:r>
        <w:t xml:space="preserve">5.4 The two lessons the data forces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Deterministic structural filtering must precede semantic/LLM retrieval. </w:t>
      </w:r>
      <w:r>
        <w:t xml:space="preserve">Partition-by-tenant plus template de-duplication makes both needles trivially findable.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Rarity ≈ diagnostic value; chronology separates trigger from symptom. </w:t>
      </w:r>
      <w:r>
        <w:t xml:space="preserve">Collapsing 237 identical 503s into one template (count 237) turns “massive volume” into a single low-information row, while the count-1 ConnectionTimeoutException stands out at once.</w:t>
      </w:r>
    </w:p>
    <w:p>
      <w:r>
        <w:br w:type="page"/>
      </w:r>
    </w:p>
    <w:p>
      <w:pPr>
        <w:pStyle w:val="Heading1"/>
      </w:pPr>
      <w:r>
        <w:t xml:space="preserve">6. Design 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Determinism first, LLM last. </w:t>
      </w:r>
      <w:r>
        <w:t xml:space="preserve">Everything exact — parse, partition, filter, de-duplicate, count, sort by time, classify — is done in code and SQL. The model only interprets the question and narrates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Reuse proven OSS; do not hand-roll. </w:t>
      </w:r>
      <w:r>
        <w:t xml:space="preserve">Drain3 for template mining, DuckDB for analytics, Chroma for vectors, LangGraph for the agent loop, Pydantic for schema. Bespoke code is glue and domain logic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Evidence or silence. </w:t>
      </w:r>
      <w:r>
        <w:t xml:space="preserve">A claim is allowed only if it is backed by a retrieved log line with its number. With no evidence the honest answer is “insufficient evidence”, never a guess.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Compute causality, don't ask for it. </w:t>
      </w:r>
      <w:r>
        <w:t xml:space="preserve">Trigger-versus-symptom is decided by frequency and timestamps, so the conclusion is reproducible and auditable rather than a fluent-sounding assertion.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Bounded by design. </w:t>
      </w:r>
      <w:r>
        <w:t xml:space="preserve">Pre-filtering caps the evidence handed to the model at a few dozen rows, which bounds latency, token cost and the blast radius of any model error.</w:t>
      </w:r>
    </w:p>
    <w:p>
      <w:pPr>
        <w:pStyle w:val="Heading1"/>
      </w:pPr>
      <w:r>
        <w:t xml:space="preserve">7. Alternatives Considered &amp; Rejected</w:t>
      </w:r>
    </w:p>
    <w:p>
      <w:pPr>
        <w:spacing w:after="140" w:line="276"/>
      </w:pPr>
      <w:r>
        <w:t xml:space="preserve">Each rejected option is a tempting default; documenting why it fails on this data is the substance of the design.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3380"/>
        <w:gridCol w:w="398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38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is tempting</w:t>
            </w:r>
          </w:p>
        </w:tc>
        <w:tc>
          <w:tcPr>
            <w:tcW w:type="dxa" w:w="398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was rejected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 vector RAG over raw lines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Simple; one embedding index; “just ask the LLM”.</w:t>
            </w:r>
          </w:p>
        </w:tc>
        <w:tc>
          <w:tcPr>
            <w:tcW w:type="dxa" w:w="39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237 identical 503s and 1,799 identical 429s form dense clusters that dominate top-k and pollute context; the rare cause is never retrieved. Fails both scenarios.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parses every log line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regex to maintain; handles any format.</w:t>
            </w:r>
          </w:p>
        </w:tc>
        <w:tc>
          <w:tcPr>
            <w:tcW w:type="dxa" w:w="39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~5,000 calls per file: impossible on free tiers, slow, costly and non-deterministic. Parsing here is a solved exact problem.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 the user's timestamp and window-filter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Cheap and obvious.</w:t>
            </w:r>
          </w:p>
        </w:tc>
        <w:tc>
          <w:tcPr>
            <w:tcW w:type="dxa" w:w="39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1's question says 16:10 but the incident is at 12:02; a hard time filter returns nothing. Must anchor on the symptom signature.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relational store, no template mining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database, fewer moving parts.</w:t>
            </w:r>
          </w:p>
        </w:tc>
        <w:tc>
          <w:tcPr>
            <w:tcW w:type="dxa" w:w="39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Without template counts there is no rarity signal, so the cause cannot be floated above the flood by structural means alone.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the LLM decide causality from context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Flexible; less code.</w:t>
            </w:r>
          </w:p>
        </w:tc>
        <w:tc>
          <w:tcPr>
            <w:tcW w:type="dxa" w:w="39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Causal claims become unverifiable and can hallucinate during an incident. Chronology + frequency give a checkable invariant instead.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Task 1 — Data Ingestion, Parsing &amp; Representation</w:t>
      </w:r>
    </w:p>
    <w:p>
      <w:pPr>
        <w:pStyle w:val="Heading2"/>
      </w:pPr>
      <w:r>
        <w:t xml:space="preserve">8.1 Canonical schema &amp; multi-tenant isolation</w:t>
      </w:r>
    </w:p>
    <w:p>
      <w:pPr>
        <w:spacing w:after="140" w:line="276"/>
      </w:pPr>
      <w:r>
        <w:t xml:space="preserve">A single record, </w:t>
      </w:r>
      <w:r>
        <w:rPr>
          <w:rFonts w:ascii="Consolas" w:cs="Consolas" w:eastAsia="Consolas" w:hAnsi="Consolas"/>
          <w:sz w:val="19"/>
          <w:szCs w:val="19"/>
        </w:rPr>
        <w:t xml:space="preserve">LogEvent</w:t>
      </w:r>
      <w:r>
        <w:t xml:space="preserve">, normalises every line. Variable fields live in a free-form </w:t>
      </w:r>
      <w:r>
        <w:rPr>
          <w:rFonts w:ascii="Consolas" w:cs="Consolas" w:eastAsia="Consolas" w:hAnsi="Consolas"/>
          <w:sz w:val="19"/>
          <w:szCs w:val="19"/>
        </w:rPr>
        <w:t xml:space="preserve">params</w:t>
      </w:r>
      <w:r>
        <w:t xml:space="preserve"> object so a new log shape lands without a schema migration (additive design). Key fields: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Stable, monotonic citation handle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raw_line_no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source line — the basis of lineage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 UTC timestamp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 key — the foundation of isolation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/ severity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DEBUG…FATAL (plus a RAW fallback) and an ordinal for filtering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Logger component, e.g. com.service.db.DataSource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template_id / template_text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Drain3 cluster id and masked template — the de-duplication key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Extracted variables (status, db_cluster, duration, client_ip…)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stack_trace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Coalesced multi-line continuation lines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Isolation. </w:t>
      </w:r>
      <w:r>
        <w:t xml:space="preserve">tenant_id is an indexed filter on every retrieval path and a metadata facet on every vector. A loud tenant's volume can never inflate a quiet tenant's retrieval cost or pollute its context — the mechanism behind Scenario 2.</w:t>
      </w:r>
    </w:p>
    <w:p>
      <w:pPr>
        <w:pStyle w:val="Heading2"/>
      </w:pPr>
      <w:r>
        <w:t xml:space="preserve">8.2 Pipeline &amp; the deterministic ↔ LLM boundary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RAW LOG -&gt; D1 Reader  (coalesce stack traces)        \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D2 Parser  (regex -&gt; fields, RAW fallback)  | DETERMINISTIC, single O(n) pass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D3 Drain3  (template_id + masked template)  | ~5k lines &lt; 0.2s, CPU-only,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D4 Normalize (UTC, enums, params)           | zero LLM cost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D5 Load -&gt; DuckDB (partition/sort tenant,ts)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D6 Index: DuckDB indexes + rarity table + (optional) template vectors  /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====================== boundary ======================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L1 Plan      NL query -&gt; retrieval plan      (LLM 1 call, or heuristic)</w:t>
      </w:r>
    </w:p>
    <w:p>
      <w:pPr>
        <w:pBdr>
          <w:left w:val="single" w:color="2E75B6" w:sz="18" w:space="8"/>
        </w:pBd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L2 Retrieve  deterministic tools build chain (NO LLM — exact SQL)</w:t>
      </w:r>
    </w:p>
    <w:p>
      <w:pPr>
        <w:pBdr>
          <w:left w:val="single" w:color="2E75B6" w:sz="18" w:space="8"/>
        </w:pBdr>
        <w:shd w:fill="F2F2F2" w:val="clear"/>
        <w:spacing w:after="160" w:line="252"/>
      </w:pPr>
      <w:r>
        <w:rPr>
          <w:rFonts w:ascii="Consolas" w:cs="Consolas" w:eastAsia="Consolas" w:hAnsi="Consolas"/>
          <w:sz w:val="18"/>
          <w:szCs w:val="18"/>
        </w:rPr>
        <w:t xml:space="preserve">        -&gt; L3 Synthesize cited narrative                (LLM 1 call, or template)</w:t>
      </w:r>
    </w:p>
    <w:p>
      <w:pPr>
        <w:pStyle w:val="Heading2"/>
      </w:pPr>
      <w:r>
        <w:t xml:space="preserve">8.3 Trade-offs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Deterministic pre-filter to ≤ 40 rows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Tiny LLM context; fits free-tier limits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Single-pass streaming ingest + columnar store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~10k lines in ~0.2s on a laptop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cost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 templates only (dozens), not lines (thousands)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~100× fewer vectors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 cost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3–6 LLM calls per investigation, any corpus size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Stays inside free quotas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Causality from timestamps + frequency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Reproducible, auditable conclusions</w:t>
            </w:r>
          </w:p>
        </w:tc>
      </w:tr>
    </w:tbl>
    <w:p>
      <w:pPr>
        <w:pStyle w:val="Heading1"/>
      </w:pPr>
      <w:r>
        <w:t xml:space="preserve">9. Task 2 — Agentic Diagnostics &amp; Evidence Retrieval</w:t>
      </w:r>
    </w:p>
    <w:p>
      <w:pPr>
        <w:pStyle w:val="Heading2"/>
      </w:pPr>
      <w:r>
        <w:t xml:space="preserve">9.1 Three indexing planes over one table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Structural plane (DuckDB). </w:t>
      </w:r>
      <w:r>
        <w:t xml:space="preserve">Indexed exact filters on temporal (ts BETWEEN), relational (tenant_id, component, level) and aggregate (GROUP BY template_id) dimensions.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Rarity plane (derived). </w:t>
      </w:r>
      <w:r>
        <w:t xml:space="preserve">Per-tenant template counts → inverse-frequency ranking; one SQL window query surfaces the count-1 trigger above the 237-line flood.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Semantic plane (Chroma, optional). </w:t>
      </w:r>
      <w:r>
        <w:t xml:space="preserve">Embeddings over the distinct template catalogue, so a flood contributes one vector, not thousands — open-ended discovery without context pollution.</w:t>
      </w:r>
    </w:p>
    <w:p>
      <w:pPr>
        <w:pStyle w:val="Heading2"/>
      </w:pPr>
      <w:r>
        <w:t xml:space="preserve">9.2 The retrieval &amp; execution loop</w:t>
      </w:r>
    </w:p>
    <w:p>
      <w:pPr>
        <w:spacing w:after="140" w:line="276"/>
      </w:pPr>
      <w:r>
        <w:t xml:space="preserve">A LangGraph state machine — </w:t>
      </w:r>
      <w:r>
        <w:rPr>
          <w:rFonts w:ascii="Consolas" w:cs="Consolas" w:eastAsia="Consolas" w:hAnsi="Consolas"/>
          <w:sz w:val="19"/>
          <w:szCs w:val="19"/>
        </w:rPr>
        <w:t xml:space="preserve">plan → retrieve → reflect → synthesize</w:t>
      </w:r>
      <w:r>
        <w:t xml:space="preserve"> — over six deterministic, lineage-stamped tools. Each returns EvidenceRow objects carrying event_id + raw_line_no + source_file, so the agent can only cite what it actually retrieved.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structured_query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filter by tenant / time / level / component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rare_templates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Lowest-frequency WARN+ templates — candidate triggers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template_frequencies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Noise profile — identifies and de-prioritises floods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semantic_search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search over the template catalogue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causal_window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Chronologically ordered neighbours around an anchor event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fetch_evidence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Verbatim line(s) + stack trace for citation</w:t>
            </w:r>
          </w:p>
        </w:tc>
      </w:tr>
    </w:tbl>
    <w:p>
      <w:pPr>
        <w:pStyle w:val="Heading2"/>
      </w:pPr>
      <w:r>
        <w:t xml:space="preserve">9.3 Verifiable causal chains — trigger vs symptom</w:t>
      </w:r>
    </w:p>
    <w:p>
      <w:pPr>
        <w:spacing w:after="140" w:line="276"/>
      </w:pPr>
      <w:r>
        <w:t xml:space="preserve">Classification is arithmetic, not opinion: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TRIGGER </w:t>
      </w:r>
      <w:r>
        <w:t xml:space="preserve">= the chronologically earliest, low-frequency, high-severity event.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TRANSITION </w:t>
      </w:r>
      <w:r>
        <w:t xml:space="preserve">= state changes (e.g. circuit breaker) between cause and flood.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SYMPTOM </w:t>
      </w:r>
      <w:r>
        <w:t xml:space="preserve">= high-frequency templates first seen at or after the trigger.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PRECURSOR </w:t>
      </w:r>
      <w:r>
        <w:t xml:space="preserve">= high-frequency templates before the trigger (e.g. pool-pressure warnings), separated from symptoms by chronology, not just count.</w:t>
      </w:r>
    </w:p>
    <w:p>
      <w:pPr>
        <w:spacing w:after="140" w:line="276"/>
      </w:pPr>
      <w:r>
        <w:t xml:space="preserve">A chain is marked </w:t>
      </w:r>
      <w:r>
        <w:rPr>
          <w:rFonts w:ascii="Consolas" w:cs="Consolas" w:eastAsia="Consolas" w:hAnsi="Consolas"/>
          <w:sz w:val="19"/>
          <w:szCs w:val="19"/>
        </w:rPr>
        <w:t xml:space="preserve">chronology_verified</w:t>
      </w:r>
      <w:r>
        <w:t xml:space="preserve"> only when trigger.ts ≤ earliest_symptom.first_seen — cause-before-effect as a checkable invariant rather than an assertion.</w:t>
      </w:r>
    </w:p>
    <w:p>
      <w:pPr>
        <w:pStyle w:val="Heading2"/>
      </w:pPr>
      <w:r>
        <w:t xml:space="preserve">9.4 Noise demultiplexing</w:t>
      </w:r>
    </w:p>
    <w:p>
      <w:pPr>
        <w:spacing w:after="140" w:line="276"/>
      </w:pPr>
      <w:r>
        <w:t xml:space="preserve">The engine computes the loudest concurrent template of every other tenant and names it explicitly as unrelated noise. For Scenario 2 it states that TENANT-Y emitted 1,799 × 429 concurrently and excludes it — preventing false-positive correlation without ever loading that flood into the model's context.</w:t>
      </w:r>
    </w:p>
    <w:p>
      <w:pPr>
        <w:pStyle w:val="Heading2"/>
      </w:pPr>
      <w:r>
        <w:t xml:space="preserve">9.5 The autonomous loop, step by step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 </w:t>
      </w:r>
      <w:r>
        <w:t xml:space="preserve">— LLM or regex heuristic extracts tenant, intent, symptom terms, time hint; an invented tenant is rejected.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Retrieve </w:t>
      </w:r>
      <w:r>
        <w:t xml:space="preserve">— builds the causal chain over the tenant's full timeline (symptom-anchored, defeating the 16:10 trap).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Reflect </w:t>
      </w:r>
      <w:r>
        <w:t xml:space="preserve">— if nothing surfaced for the named tenant, widen across tenants once.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Synthesize </w:t>
      </w:r>
      <w:r>
        <w:t xml:space="preserve">— constrained narration over the classified chain, then citation verification (§9.6).</w:t>
      </w:r>
    </w:p>
    <w:p>
      <w:pPr>
        <w:pStyle w:val="Heading2"/>
      </w:pPr>
      <w:r>
        <w:t xml:space="preserve">9.6 Lineage, anti-hallucination &amp; context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Lineage. </w:t>
      </w:r>
      <w:r>
        <w:t xml:space="preserve">Every claim cites “event N”, resolvable to file:line; verbatim text and stack traces travel with the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Anti-hallucination. </w:t>
      </w:r>
      <w:r>
        <w:t xml:space="preserve">The synthesis prompt forbids uncited claims; a verifier then checks every cited event_id was actually retrieved and, on any unsupported citation, reverts to the deterministic narrative. Facts always originate from the deterministic chain.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Context limits. </w:t>
      </w:r>
      <w:r>
        <w:t xml:space="preserve">Deterministic reduction caps evidence at ~40 rows; the model never sees the 5k-line file, so context stays small and on-budget.</w:t>
      </w:r>
    </w:p>
    <w:p>
      <w:r>
        <w:br w:type="page"/>
      </w:r>
    </w:p>
    <w:p>
      <w:pPr>
        <w:pStyle w:val="Heading1"/>
      </w:pPr>
      <w:r>
        <w:t xml:space="preserve">10. Worked Scenario Walkthroughs</w:t>
      </w:r>
    </w:p>
    <w:p>
      <w:pPr>
        <w:pStyle w:val="Heading2"/>
      </w:pPr>
      <w:r>
        <w:t xml:space="preserve">10.1 Scenario 1 — “What caused the 503s for TENANT-X?”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Plan: tenant = TENANT-X, intent = root_cause, symptom = 503; time hint 16:10 noted but not trusted.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Retrieve: rarity ranking over TENANT-X surfaces ConnectionTimeoutException (count 1) and the breaker transition (count 1) above the 25 pool warnings and the 237-line 503 flood.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Classify: pool warnings → precursor; ConnectionTimeoutException → trigger; CLOSED→OPEN → transition; 503s → symptom. Chronology verified (12:02:58.378 &lt; 12:02:58.661).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Synthesize: “Root cause = DB connection-pool exhaustion → circuit breaker OPEN → 503 symptoms”, citing line 3252 and its stack trace; TENANT-F traffic flagged as unrelated.</w:t>
      </w:r>
    </w:p>
    <w:p>
      <w:pPr>
        <w:pStyle w:val="Heading2"/>
      </w:pPr>
      <w:r>
        <w:t xml:space="preserve">10.2 Scenario 2 — “Any failures impacting TENANT-Z during the auth spike?”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Plan: tenant = TENANT-Z, intent = impact_scan.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Retrieve: partition to TENANT-Z (drops TENANT-Y's 2,399 lines); within 201 lines, strip 199 benign INFO token validations.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Classify: the two remaining WARN+ lines — token-validation timeout (trigger) and 2500ms SLA breach — are the answer.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Synthesize: reports the TENANT-Z timeout + SLA breach, and explicitly excludes TENANT-Y's 1,799 × 429 flood as unrelated noise.</w:t>
      </w:r>
    </w:p>
    <w:p>
      <w:pPr>
        <w:pStyle w:val="Heading1"/>
      </w:pPr>
      <w:r>
        <w:t xml:space="preserve">11. Validation Results (Measured)</w:t>
      </w:r>
    </w:p>
    <w:p>
      <w:pPr>
        <w:spacing w:after="140" w:line="276"/>
      </w:pPr>
      <w:r>
        <w:t xml:space="preserve">Run with </w:t>
      </w:r>
      <w:r>
        <w:rPr>
          <w:b/>
          <w:bCs/>
        </w:rPr>
        <w:t xml:space="preserve">no LLM key</w:t>
      </w:r>
      <w:r>
        <w:t xml:space="preserve"> (pure deterministic path); all assertions in the automated scenario tests pass.</w:t>
      </w:r>
    </w:p>
    <w:p>
      <w:pPr>
        <w:pStyle w:val="Heading3"/>
      </w:pPr>
      <w:r>
        <w:t xml:space="preserve">Scenario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Root cause = pool.ConnectionTimeoutException (db.DataSource, event 3252, line 3252) with stack trace.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Breaker CLOSED→OPEN captured as the transition; 237×503 classified as downstream symptom; chronology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“16:10” trap handled by anchoring on the 12:02 symptom burst rather than the stated clock time.</w:t>
      </w:r>
    </w:p>
    <w:p>
      <w:pPr>
        <w:pStyle w:val="Heading3"/>
      </w:pPr>
      <w:r>
        <w:t xml:space="preserve">Scenario 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Root cause = token-validation timeout for TENANT-Z (event 2451, line 2451) + 2500ms SLA breach.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TENANT-Y's 1,799-line 429 flood explicitly excluded as noise; every cited line is TENANT-Z only.</w:t>
      </w:r>
    </w:p>
    <w:p>
      <w:pPr>
        <w:pStyle w:val="Heading3"/>
      </w:pPr>
      <w:r>
        <w:t xml:space="preserve">Ingestion &amp; live path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5,000 events, 12 templates, ~0.2s parse; zero unparsed lines; the 503 flood collapses to one template.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With a Google AI Studio key, Gemini 2.5 Flash produces the same conclusions as a clean cited narrative (LLM used = true, citations verified = true).</w:t>
      </w:r>
    </w:p>
    <w:p>
      <w:pPr>
        <w:pStyle w:val="Heading1"/>
      </w:pPr>
      <w:r>
        <w:t xml:space="preserve">12. Risks, Failure Modes &amp; Mitigations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/ failure mode</w:t>
            </w:r>
          </w:p>
        </w:tc>
        <w:tc>
          <w:tcPr>
            <w:tcW w:type="dxa" w:w="60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LLM rate limit / outage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 LLM call per query by default; automatic fallback to the deterministic narrative; provider is swappable (Gemini / OpenRouter / local Ollama).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or vague time in the question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Symptom-anchored retrieval over the full tenant timeline; the time hint never hard-filters.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Unseen / drifting log format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Drain3 learns new templates online; unparsed lines fall back to RAW and still flow through; params are additive.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invents a citation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Citations verified against the retrieved set; unsupported claims trigger a revert to the deterministic narrative.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Ambiguous causality (trigger not before flood)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chronology_verified flag is set false and surfaced; the answer is reported as low-confidence rather than asserted.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Confidentiality of log data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Local-first stack; the Ollama path keeps all data on-machine; keys are read from environment only.</w:t>
            </w:r>
          </w:p>
        </w:tc>
      </w:tr>
    </w:tbl>
    <w:p>
      <w:pPr>
        <w:pStyle w:val="Heading1"/>
      </w:pPr>
      <w:r>
        <w:t xml:space="preserve">13. Free / Open-Source Stack (BYOK)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terms / rationale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2.5 Flash (primary) · OpenRouter free · Ollama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req/min, 1,500/day, 1M tokens/min free; swap via RCA_LLM_PROVIDER; Ollama fully offline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 + langchain-core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Inspectable, stateful agent loop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mining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Drain3 (logpai)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streaming Drain; the noise→signal engine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 store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DuckDB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columnar OLAP, zero-config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 + MiniLM (local)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Template-only embeddings, offline, free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Typed event and tool I/O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Typer CLI + Streamlit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Reproducible demo + visual evidence/timeline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Security. </w:t>
      </w:r>
      <w:r>
        <w:t xml:space="preserve">No credential is hardcoded; keys are read from .env only. With no key, the engine runs end-to-end on its deterministic path.</w:t>
      </w:r>
    </w:p>
    <w:p>
      <w:pPr>
        <w:pStyle w:val="Heading1"/>
      </w:pPr>
      <w:r>
        <w:t xml:space="preserve">14. Production Hardening &amp; Roadmap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Swap embedded DuckDB → distributed columnar (ClickHouse / DuckDB-on-object-store) and Chroma → a managed vector DB; partition physically per tenant.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Streaming ingestion (Kafka) with Drain3 persistent state snapshots; a schema registry for params drift.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Per-tenant LLM rate-limit / quota isolation; caching of retrieval plans and synthesised answers.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Confidence scoring and human-in-the-loop escalation when chronology cannot be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Observability: persist the agent's tool-call trace and evidence set as an audit record per 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Cross-incident memory: a library of confirmed causal chains to accelerate recurring failure modes.</w:t>
      </w:r>
    </w:p>
    <w:p>
      <w:pPr>
        <w:pStyle w:val="Heading1"/>
      </w:pPr>
      <w:r>
        <w:t xml:space="preserve">15. Glossary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(Drain3)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log message with its variable parts masked, e.g. “Status: &lt;NUM&gt;…”; identical lines collapse to one template with a count.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earliest rare, high-severity event — the root cause.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high-frequency event that follows the trigger; an effect, not a cause.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Precursor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high-frequency event before the trigger (e.g. resource pressure leading up to it).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Rarity score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Inverse frequency of a template within a tenant/time scope; higher = more diagnostic.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Lineage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traceable link from a stated claim back to a verbatim log line and number.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BYOK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Bring Your Own Key — credentials supplied by the operator via environment variables.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TDD-RCA-001 · v1.0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Technical Design Document</w:t>
    </w:r>
    <w:r>
      <w:rPr>
        <w:color w:val="595959"/>
        <w:sz w:val="16"/>
        <w:szCs w:val="16"/>
      </w:rPr>
      <w:t xml:space="preserve">	Log Intelligence Platform · RCA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4" w:space="4"/>
      </w:pBd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creator>Darshak Kakani</dc:creator>
  <dc:description>Technical Design Document</dc:description>
  <cp:lastModifiedBy>Un-named</cp:lastModifiedBy>
  <cp:revision>1</cp:revision>
  <dcterms:created xsi:type="dcterms:W3CDTF">2026-06-18T15:52:22.806Z</dcterms:created>
  <dcterms:modified xsi:type="dcterms:W3CDTF">2026-06-18T15:52:22.814Z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