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12"/>
        </w:pBdr>
        <w:spacing w:after="0" w:before="1200"/>
      </w:pPr>
      <w:r>
        <w:rPr>
          <w:b/>
          <w:bCs/>
          <w:color w:val="2E75B6"/>
          <w:sz w:val="22"/>
          <w:szCs w:val="22"/>
        </w:rPr>
        <w:t xml:space="preserve">Enterprise Log Intelligence Platform</w:t>
      </w:r>
    </w:p>
    <w:p>
      <w:pPr>
        <w:spacing w:after="60" w:before="380"/>
      </w:pPr>
      <w:r>
        <w:rPr>
          <w:b/>
          <w:bCs/>
          <w:color w:val="1F3864"/>
          <w:sz w:val="50"/>
          <w:szCs w:val="50"/>
        </w:rPr>
        <w:t xml:space="preserve">Conceptual Architecture Blueprint</w:t>
      </w:r>
    </w:p>
    <w:p>
      <w:pPr>
        <w:spacing w:after="300"/>
      </w:pPr>
      <w:r>
        <w:rPr>
          <w:color w:val="595959"/>
          <w:sz w:val="28"/>
          <w:szCs w:val="28"/>
        </w:rPr>
        <w:t xml:space="preserve">Agentic Root-Cause-Analysis Engine</w:t>
      </w:r>
    </w:p>
    <w:p>
      <w:pPr>
        <w:spacing w:after="280" w:before="120"/>
      </w:pPr>
      <w:r>
        <w:rPr>
          <w:i/>
          <w:iCs/>
          <w:color w:val="404040"/>
          <w:sz w:val="21"/>
          <w:szCs w:val="21"/>
        </w:rPr>
        <w:t xml:space="preserve">A component and data-flow view of the RCA engine: a deterministic reduction stage that collapses high-volume multi-tenant logs into a small, cited evidence set, and an agentic stage that plans retrieval and narrates verified findings.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700"/>
        <w:gridCol w:w="6660"/>
      </w:tblGrid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Log Intelligence Platform — Root Cause Analysis Engine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Conceptual Architecture Blueprint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ARC-RCA-001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Issued for review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 / Author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Darshak Kakani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Intended audience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Engineering · Site Reliability · Applied AI</w:t>
            </w:r>
          </w:p>
        </w:tc>
      </w:tr>
      <w:tr>
        <w:tc>
          <w:tcPr>
            <w:tcW w:type="dxa" w:w="2700"/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100" w:before="280"/>
      </w:pPr>
      <w:r>
        <w:rPr>
          <w:b/>
          <w:bCs/>
          <w:color w:val="1F3864"/>
          <w:sz w:val="20"/>
          <w:szCs w:val="20"/>
        </w:rPr>
        <w:t xml:space="preserve">Revision history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100"/>
        <w:gridCol w:w="1700"/>
        <w:gridCol w:w="2400"/>
        <w:gridCol w:w="416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160"/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18 June 2026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Darshak Kakani</w:t>
            </w:r>
          </w:p>
        </w:tc>
        <w:tc>
          <w:tcPr>
            <w:tcW w:type="dxa" w:w="41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Initial design, prototype and validation against both incident scenarios.</w:t>
            </w:r>
          </w:p>
        </w:tc>
      </w:tr>
    </w:tbl>
    <w:p>
      <w:pPr>
        <w:spacing w:before="360"/>
      </w:pPr>
      <w:r>
        <w:rPr>
          <w:i/>
          <w:iCs/>
          <w:color w:val="595959"/>
          <w:sz w:val="18"/>
          <w:szCs w:val="18"/>
        </w:rPr>
        <w:t xml:space="preserve">Confidential. For internal review only.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Organising Idea</w:t>
      </w:r>
    </w:p>
    <w:p>
      <w:pPr>
        <w:spacing w:after="140" w:line="276"/>
      </w:pPr>
      <w:r>
        <w:t xml:space="preserve">This blueprint shows how the components fit together; the companion </w:t>
      </w:r>
      <w:r>
        <w:rPr>
          <w:b/>
          <w:bCs/>
        </w:rPr>
        <w:t xml:space="preserve">Technical Design Document</w:t>
      </w:r>
      <w:r>
        <w:t xml:space="preserve"> explains why. The single organising idea:</w:t>
      </w:r>
    </w:p>
    <w:p>
      <w:pPr>
        <w:spacing w:after="140" w:line="276"/>
        <w:jc w:val="center"/>
      </w:pPr>
      <w:r>
        <w:rPr>
          <w:b/>
          <w:bCs/>
        </w:rPr>
        <w:t xml:space="preserve">A deterministic reduction stage collapses the haystack before any AI touches it; the AI then plans retrieval and narrates verified evidence.</w:t>
      </w:r>
    </w:p>
    <w:p>
      <w:pPr>
        <w:pStyle w:val="Heading1"/>
      </w:pPr>
      <w:r>
        <w:t xml:space="preserve">2. System Overview</w:t>
      </w:r>
    </w:p>
    <w:p>
      <w:pPr>
        <w:spacing w:after="140" w:line="276"/>
      </w:pPr>
      <w:r>
        <w:t xml:space="preserve">Raw multi-tenant streams flow through a deterministic ingestion plane into a three-plane store; a LangGraph agent queries that store and synthesises a cited answer. No raw log line ever reaches the LLM.</w:t>
      </w:r>
    </w:p>
    <w:p>
      <w:pPr>
        <w:spacing w:after="40" w:before="80"/>
        <w:jc w:val="center"/>
      </w:pPr>
      <w:r>
        <w:drawing>
          <wp:inline distT="0" distB="0" distL="0" distR="0">
            <wp:extent cx="4905375" cy="6953250"/>
            <wp:effectExtent t="0" r="0" b="0" l="0"/>
            <wp:docPr id="1" name="Figure 1 — End-to-end system overview: deterministic plane → storage &amp; indexing → agentic plane." descr="Figure 1 — End-to-end system overview: deterministic plane → storage &amp; indexing → agentic plane." title="Figure 1 — End-to-end system overview: deterministic plane → storage &amp; indexing → agentic 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End-to-end system overview: deterministic plane → storage &amp; indexing → agentic plane.</w:t>
      </w:r>
    </w:p>
    <w:p>
      <w:r>
        <w:br w:type="page"/>
      </w:r>
    </w:p>
    <w:p>
      <w:pPr>
        <w:pStyle w:val="Heading1"/>
      </w:pPr>
      <w:r>
        <w:t xml:space="preserve">3. The Deterministic ↔ LLM Boundary</w:t>
      </w:r>
    </w:p>
    <w:p>
      <w:pPr>
        <w:spacing w:after="140" w:line="276"/>
      </w:pPr>
      <w:r>
        <w:t xml:space="preserve">The core design decision. Anything exact (parse, filter, count, sort, classify by time) is code; only query interpretation and narration are the model’s — and narration is verified against retrieved evidence before it is trusted.</w:t>
      </w:r>
    </w:p>
    <w:p>
      <w:pPr>
        <w:spacing w:after="40" w:before="80"/>
        <w:jc w:val="center"/>
      </w:pPr>
      <w:r>
        <w:drawing>
          <wp:inline distT="0" distB="0" distL="0" distR="0">
            <wp:extent cx="5819775" cy="6953250"/>
            <wp:effectExtent t="0" r="0" b="0" l="0"/>
            <wp:docPr id="1" name="Figure 2 — Division of labour: deterministic operations feed a bounded, cited evidence set to the LLM; failed citation checks fall back to a deterministic narrative." descr="Figure 2 — Division of labour: deterministic operations feed a bounded, cited evidence set to the LLM; failed citation checks fall back to a deterministic narrative." title="Figure 2 — Division of labour: deterministic operations feed a bounded, cited evidence set to the LLM; failed citation checks fall back to a deterministic narr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 — Division of labour: deterministic operations feed a bounded, cited evidence set to the LLM; failed citation checks fall back to a deterministic narrative.</w:t>
      </w:r>
    </w:p>
    <w:p>
      <w:pPr>
        <w:pStyle w:val="Heading1"/>
      </w:pPr>
      <w:r>
        <w:t xml:space="preserve">4. Agent Retrieval Loop</w:t>
      </w:r>
    </w:p>
    <w:p>
      <w:pPr>
        <w:spacing w:after="140" w:line="276"/>
      </w:pPr>
      <w:r>
        <w:t xml:space="preserve">The agent is a four-state machine. </w:t>
      </w:r>
      <w:r>
        <w:rPr>
          <w:b/>
          <w:bCs/>
        </w:rPr>
        <w:t xml:space="preserve">plan</w:t>
      </w:r>
      <w:r>
        <w:t xml:space="preserve"> extracts retrieval parameters (rejecting invented tenants); </w:t>
      </w:r>
      <w:r>
        <w:rPr>
          <w:b/>
          <w:bCs/>
        </w:rPr>
        <w:t xml:space="preserve">retrieve</w:t>
      </w:r>
      <w:r>
        <w:t xml:space="preserve"> runs deterministic tools and is symptom-anchored to defeat the “16:10” trap; </w:t>
      </w:r>
      <w:r>
        <w:rPr>
          <w:b/>
          <w:bCs/>
        </w:rPr>
        <w:t xml:space="preserve">reflect</w:t>
      </w:r>
      <w:r>
        <w:t xml:space="preserve"> widens scope once if nothing surfaced; </w:t>
      </w:r>
      <w:r>
        <w:rPr>
          <w:b/>
          <w:bCs/>
        </w:rPr>
        <w:t xml:space="preserve">synthesize</w:t>
      </w:r>
      <w:r>
        <w:t xml:space="preserve"> produces an evidence-grounded, citation-verified narrative.</w:t>
      </w:r>
    </w:p>
    <w:p>
      <w:pPr>
        <w:spacing w:after="40" w:before="80"/>
        <w:jc w:val="center"/>
      </w:pPr>
      <w:r>
        <w:drawing>
          <wp:inline distT="0" distB="0" distL="0" distR="0">
            <wp:extent cx="6038850" cy="6848475"/>
            <wp:effectExtent t="0" r="0" b="0" l="0"/>
            <wp:docPr id="1" name="Figure 3 — LangGraph state machine: plan → retrieve → reflect → synthesize." descr="Figure 3 — LangGraph state machine: plan → retrieve → reflect → synthesize." title="Figure 3 — LangGraph state machine: plan → retrieve → reflect → synthesiz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 — LangGraph state machine: plan → retrieve → reflect → synthesize.</w:t>
      </w:r>
    </w:p>
    <w:p>
      <w:r>
        <w:br w:type="page"/>
      </w:r>
    </w:p>
    <w:p>
      <w:pPr>
        <w:pStyle w:val="Heading1"/>
      </w:pPr>
      <w:r>
        <w:t xml:space="preserve">5. Scenario 1 — Chronological Trigger Extraction</w:t>
      </w:r>
    </w:p>
    <w:p>
      <w:pPr>
        <w:spacing w:after="140" w:line="276"/>
      </w:pPr>
      <w:r>
        <w:t xml:space="preserve">Rarity ranking floats the 1-line connection-pool timeout above the 237-line 503 flood; a causal-window check proves the trigger preceded the symptoms.</w:t>
      </w:r>
    </w:p>
    <w:p>
      <w:pPr>
        <w:spacing w:after="40" w:before="80"/>
        <w:jc w:val="center"/>
      </w:pPr>
      <w:r>
        <w:drawing>
          <wp:inline distT="0" distB="0" distL="0" distR="0">
            <wp:extent cx="6038850" cy="2476500"/>
            <wp:effectExtent t="0" r="0" b="0" l="0"/>
            <wp:docPr id="1" name="Figure 4 — TENANT-X: isolating the low-frequency initiator from the dense downstream 503 flood." descr="Figure 4 — TENANT-X: isolating the low-frequency initiator from the dense downstream 503 flood." title="Figure 4 — TENANT-X: isolating the low-frequency initiator from the dense downstream 503 floo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 — TENANT-X: isolating the low-frequency initiator from the dense downstream 503 flood.</w:t>
      </w:r>
    </w:p>
    <w:p>
      <w:pPr>
        <w:pStyle w:val="Heading1"/>
      </w:pPr>
      <w:r>
        <w:t xml:space="preserve">6. Scenario 2 — High-Volume Noise Demultiplexing</w:t>
      </w:r>
    </w:p>
    <w:p>
      <w:pPr>
        <w:spacing w:after="140" w:line="276"/>
      </w:pPr>
      <w:r>
        <w:t xml:space="preserve">Tenant partitioning makes the buried 2-line TENANT-Z anomaly trivially findable and keeps TENANT-Y’s 1,799-line flood out of the context window entirely.</w:t>
      </w:r>
    </w:p>
    <w:p>
      <w:pPr>
        <w:spacing w:after="40" w:before="80"/>
        <w:jc w:val="center"/>
      </w:pPr>
      <w:r>
        <w:drawing>
          <wp:inline distT="0" distB="0" distL="0" distR="0">
            <wp:extent cx="3505200" cy="6953250"/>
            <wp:effectExtent t="0" r="0" b="0" l="0"/>
            <wp:docPr id="1" name="Figure 5 — TENANT-Z vs TENANT-Y: partition-first demultiplexing avoids false-positive correlation." descr="Figure 5 — TENANT-Z vs TENANT-Y: partition-first demultiplexing avoids false-positive correlation." title="Figure 5 — TENANT-Z vs TENANT-Y: partition-first demultiplexing avoids false-positive correl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 — TENANT-Z vs TENANT-Y: partition-first demultiplexing avoids false-positive correlation.</w:t>
      </w:r>
    </w:p>
    <w:p>
      <w:r>
        <w:br w:type="page"/>
      </w:r>
    </w:p>
    <w:p>
      <w:pPr>
        <w:pStyle w:val="Heading1"/>
      </w:pPr>
      <w:r>
        <w:t xml:space="preserve">7. Data Lineage &amp; Anti-Hallucination</w:t>
      </w:r>
    </w:p>
    <w:p>
      <w:pPr>
        <w:spacing w:after="140" w:line="276"/>
      </w:pPr>
      <w:r>
        <w:t xml:space="preserve">Every sentence in the final report is traceable to a verbatim log line; an unsupported citation can never survive into the answer.</w:t>
      </w:r>
    </w:p>
    <w:p>
      <w:pPr>
        <w:spacing w:after="40" w:before="80"/>
        <w:jc w:val="center"/>
      </w:pPr>
      <w:r>
        <w:drawing>
          <wp:inline distT="0" distB="0" distL="0" distR="0">
            <wp:extent cx="3648075" cy="6953250"/>
            <wp:effectExtent t="0" r="0" b="0" l="0"/>
            <wp:docPr id="1" name="Figure 6 — Lineage chain: raw line → event_id → tool → bounded context → narration → citation check → trusted answer or deterministic fallback." descr="Figure 6 — Lineage chain: raw line → event_id → tool → bounded context → narration → citation check → trusted answer or deterministic fallback." title="Figure 6 — Lineage chain: raw line → event_id → tool → bounded context → narration → citation check → trusted answer or deterministic fallb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 — Lineage chain: raw line → event_id → tool → bounded context → narration → citation check → trusted answer or deterministic fallback.</w:t>
      </w:r>
    </w:p>
    <w:p>
      <w:pPr>
        <w:pStyle w:val="Heading1"/>
      </w:pPr>
      <w:r>
        <w:t xml:space="preserve">8. Deployment View (Prototype → Production)</w:t>
      </w:r>
    </w:p>
    <w:p>
      <w:pPr>
        <w:spacing w:after="140" w:line="276"/>
      </w:pPr>
      <w:r>
        <w:t xml:space="preserve">The prototype runs fully on a laptop (embedded DuckDB, in-process Chroma, BYOK LLM). The same interfaces scale to a streaming, multi-worker production topology.</w:t>
      </w:r>
    </w:p>
    <w:p>
      <w:pPr>
        <w:spacing w:after="40" w:before="80"/>
        <w:jc w:val="center"/>
      </w:pPr>
      <w:r>
        <w:drawing>
          <wp:inline distT="0" distB="0" distL="0" distR="0">
            <wp:extent cx="6038850" cy="5743575"/>
            <wp:effectExtent t="0" r="0" b="0" l="0"/>
            <wp:docPr id="1" name="Figure 7 — Evolution from the local prototype to a production streaming/serving topology behind identical interfaces." descr="Figure 7 — Evolution from the local prototype to a production streaming/serving topology behind identical interfaces." title="Figure 7 — Evolution from the local prototype to a production streaming/serving topology behind identical interfa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 — Evolution from the local prototype to a production streaming/serving topology behind identical interfaces.</w:t>
      </w:r>
    </w:p>
    <w:p>
      <w:pPr>
        <w:pStyle w:val="Heading1"/>
      </w:pPr>
      <w:r>
        <w:t xml:space="preserve">9. Component Responsibilities (Quick Reference)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3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ingest/ (reader, parser, drain_miner, normalize)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Deterministic raw→canonical LogEvent pipeline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store/ (schema, duckdb_store, vector_store)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indexing planes: structural, rarity, semantic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agent/ (llm_provider, tools, prompts, graph)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BYOK provider + retrieval tools + LangGraph loop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synth/ (causal, report, lineage)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Verifiable causal chain + cited report + citation guard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cli.py / webapp.py / pipeline.py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Interfaces and one-call wiring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ARC-RCA-001 · v1.0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Conceptual Architecture Blueprint</w:t>
    </w:r>
    <w:r>
      <w:rPr>
        <w:color w:val="595959"/>
        <w:sz w:val="16"/>
        <w:szCs w:val="16"/>
      </w:rPr>
      <w:t xml:space="preserve">	Log Intelligence Platform · RCA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4" w:space="4"/>
      </w:pBd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94769a054ce48e7357d3adfe62a7d80a3b3456.png"/><Relationship Id="rId10" Type="http://schemas.openxmlformats.org/officeDocument/2006/relationships/image" Target="media/45576c3ff6089943bdf4baf3ec242e8e6d7f1c22.png"/><Relationship Id="rId11" Type="http://schemas.openxmlformats.org/officeDocument/2006/relationships/image" Target="media/ab41fdfdcf4873c4ecfc7f514f8862681e149293.png"/><Relationship Id="rId12" Type="http://schemas.openxmlformats.org/officeDocument/2006/relationships/image" Target="media/6d4db5731c1de1683e34d44cbe2a6a1c783487b3.png"/><Relationship Id="rId13" Type="http://schemas.openxmlformats.org/officeDocument/2006/relationships/image" Target="media/84e91528acb657654b46f5439bc5e207c0df7c36.png"/><Relationship Id="rId14" Type="http://schemas.openxmlformats.org/officeDocument/2006/relationships/image" Target="media/46128aeb71f639efa256fcfa10ccc1d6be5bd3c1.png"/><Relationship Id="rId15" Type="http://schemas.openxmlformats.org/officeDocument/2006/relationships/image" Target="media/709b99091ef02405d97b9f7df0b89662e6d3a07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Conceptual Architecture Blueprint</dc:title>
  <dc:creator>Darshak Kakani</dc:creator>
  <dc:description>Conceptual Architecture Blueprint</dc:description>
  <cp:lastModifiedBy>Un-named</cp:lastModifiedBy>
  <cp:revision>1</cp:revision>
  <dcterms:created xsi:type="dcterms:W3CDTF">2026-06-18T15:49:28.899Z</dcterms:created>
  <dcterms:modified xsi:type="dcterms:W3CDTF">2026-06-18T15:49:28.899Z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