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18" w:space="12"/>
        </w:pBdr>
        <w:spacing w:after="0" w:before="1200"/>
      </w:pPr>
      <w:r>
        <w:rPr>
          <w:b/>
          <w:bCs/>
          <w:color w:val="2E75B6"/>
          <w:sz w:val="22"/>
          <w:szCs w:val="22"/>
        </w:rPr>
        <w:t xml:space="preserve">Enterprise Log Intelligence Platform</w:t>
      </w:r>
    </w:p>
    <w:p>
      <w:pPr>
        <w:spacing w:after="60" w:before="380"/>
      </w:pPr>
      <w:r>
        <w:rPr>
          <w:b/>
          <w:bCs/>
          <w:color w:val="1F3864"/>
          <w:sz w:val="50"/>
          <w:szCs w:val="50"/>
        </w:rPr>
        <w:t xml:space="preserve">Prototype Code &amp; How-to-Run Guide</w:t>
      </w:r>
    </w:p>
    <w:p>
      <w:pPr>
        <w:spacing w:after="300"/>
      </w:pPr>
      <w:r>
        <w:rPr>
          <w:color w:val="595959"/>
          <w:sz w:val="28"/>
          <w:szCs w:val="28"/>
        </w:rPr>
        <w:t xml:space="preserve">Agentic Root-Cause-Analysis Engine</w:t>
      </w:r>
    </w:p>
    <w:p>
      <w:pPr>
        <w:spacing w:after="280" w:before="120"/>
      </w:pPr>
      <w:r>
        <w:rPr>
          <w:i/>
          <w:iCs/>
          <w:color w:val="404040"/>
          <w:sz w:val="21"/>
          <w:szCs w:val="21"/>
        </w:rPr>
        <w:t xml:space="preserve">How to set up, run and test the reference implementation, with a map of the codebase and the end-to-end execution path for each natural-language incident query.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700"/>
        <w:gridCol w:w="6660"/>
      </w:tblGrid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Enterprise Log Intelligence Platform — Root Cause Analysis Engine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Prototype Code &amp; How-to-Run Guide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Reference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COD-RCA-001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Issued for review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 June 2026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Owner / Author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Darshak Kakani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Intended audience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Platform Engineering · Site Reliability · Applied AI</w:t>
            </w:r>
          </w:p>
        </w:tc>
      </w:tr>
      <w:tr>
        <w:tc>
          <w:tcPr>
            <w:tcW w:type="dxa" w:w="2700"/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6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Confidential</w:t>
            </w:r>
          </w:p>
        </w:tc>
      </w:tr>
    </w:tbl>
    <w:p>
      <w:pPr>
        <w:spacing w:after="100" w:before="280"/>
      </w:pPr>
      <w:r>
        <w:rPr>
          <w:b/>
          <w:bCs/>
          <w:color w:val="1F3864"/>
          <w:sz w:val="20"/>
          <w:szCs w:val="20"/>
        </w:rPr>
        <w:t xml:space="preserve">Revision history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100"/>
        <w:gridCol w:w="1700"/>
        <w:gridCol w:w="2400"/>
        <w:gridCol w:w="416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700"/>
            <w:shd w:fill="1F3864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400"/>
            <w:shd w:fill="1F3864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4160"/>
            <w:shd w:fill="1F3864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18 June 2026</w:t>
            </w:r>
          </w:p>
        </w:tc>
        <w:tc>
          <w:tcPr>
            <w:tcW w:type="dxa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Darshak Kakani</w:t>
            </w:r>
          </w:p>
        </w:tc>
        <w:tc>
          <w:tcPr>
            <w:tcW w:type="dxa" w:w="41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Initial design, prototype and validation against both incident scenarios.</w:t>
            </w:r>
          </w:p>
        </w:tc>
      </w:tr>
    </w:tbl>
    <w:p>
      <w:pPr>
        <w:spacing w:before="360"/>
      </w:pPr>
      <w:r>
        <w:rPr>
          <w:i/>
          <w:iCs/>
          <w:color w:val="595959"/>
          <w:sz w:val="18"/>
          <w:szCs w:val="18"/>
        </w:rPr>
        <w:t xml:space="preserve">Confidential. For internal review only.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What the Prototype Does</w:t>
      </w:r>
    </w:p>
    <w:p>
      <w:pPr>
        <w:spacing w:after="140" w:line="276"/>
      </w:pPr>
      <w:r>
        <w:t xml:space="preserve">A runnable implementation of the RCA engine. It ingests the supplied logs, builds the structural / rarity / semantic indexes, runs the agentic loop and prints a </w:t>
      </w:r>
      <w:r>
        <w:rPr>
          <w:b/>
          <w:bCs/>
        </w:rPr>
        <w:t xml:space="preserve">cited, causally-ordered root-cause narrative</w:t>
      </w:r>
      <w:r>
        <w:t xml:space="preserve">. It answers both validation scenarios correctly </w:t>
      </w:r>
      <w:r>
        <w:rPr>
          <w:b/>
          <w:bCs/>
        </w:rPr>
        <w:t xml:space="preserve">with or without</w:t>
      </w:r>
      <w:r>
        <w:t xml:space="preserve"> an LLM key.</w:t>
      </w:r>
    </w:p>
    <w:p>
      <w:pPr>
        <w:pStyle w:val="Heading1"/>
      </w:pPr>
      <w:r>
        <w:t xml:space="preserve">2. Prerequisites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Python 3.10+ (developed on 3.10.6, Windows).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Node.js — only for regenerating the deliverable documents, not for running the engine.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Optional: a free Google AI Studio key (</w:t>
      </w:r>
      <w:r>
        <w:rPr>
          <w:rFonts w:ascii="Consolas" w:cs="Consolas" w:eastAsia="Consolas" w:hAnsi="Consolas"/>
          <w:sz w:val="19"/>
          <w:szCs w:val="19"/>
        </w:rPr>
        <w:t xml:space="preserve">GOOGLE_API_KEY</w:t>
      </w:r>
      <w:r>
        <w:t xml:space="preserve">) for LLM-written narratives. Without it the engine uses its deterministic narrative.</w:t>
      </w:r>
    </w:p>
    <w:p>
      <w:pPr>
        <w:pStyle w:val="Heading1"/>
      </w:pPr>
      <w:r>
        <w:t xml:space="preserve">3. Setup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cd rca-engine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python -m venv .venv &amp;&amp; .venv\Scripts\activate     # Windows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2E75B6" w:sz="18" w:space="8"/>
        </w:pBdr>
        <w:shd w:fill="F2F2F2" w:val="clear"/>
        <w:spacing w:after="160" w:line="252"/>
      </w:pPr>
      <w:r>
        <w:rPr>
          <w:rFonts w:ascii="Consolas" w:cs="Consolas" w:eastAsia="Consolas" w:hAnsi="Consolas"/>
          <w:sz w:val="18"/>
          <w:szCs w:val="18"/>
        </w:rPr>
        <w:t xml:space="preserve">copy .env.example .env        # then paste a free key into GOOGLE_API_KEY</w:t>
      </w:r>
    </w:p>
    <w:p>
      <w:pPr>
        <w:spacing w:after="140" w:line="276"/>
      </w:pPr>
      <w:r>
        <w:rPr>
          <w:b/>
          <w:bCs/>
        </w:rPr>
        <w:t xml:space="preserve">Note. </w:t>
      </w:r>
      <w:r>
        <w:t xml:space="preserve">sentence-transformers / chromadb (the optional semantic layer) pull in torch. They are only needed for the --vectors flag; both validation scenarios are solved by the deterministic + rarity path and need neither.</w:t>
      </w:r>
    </w:p>
    <w:p>
      <w:pPr>
        <w:pStyle w:val="Heading1"/>
      </w:pPr>
      <w:r>
        <w:t xml:space="preserve">4. Running the Two Validation Scenarios</w:t>
      </w:r>
    </w:p>
    <w:p>
      <w:pPr>
        <w:pStyle w:val="Heading3"/>
      </w:pPr>
      <w:r>
        <w:t xml:space="preserve">Scenario 1 — chronological trigger extraction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python -m rca.cli investigate data/production_incident_01.log \</w:t>
      </w:r>
    </w:p>
    <w:p>
      <w:pPr>
        <w:pBdr>
          <w:left w:val="single" w:color="2E75B6" w:sz="18" w:space="8"/>
        </w:pBdr>
        <w:shd w:fill="F2F2F2" w:val="clear"/>
        <w:spacing w:after="160" w:line="252"/>
      </w:pPr>
      <w:r>
        <w:rPr>
          <w:rFonts w:ascii="Consolas" w:cs="Consolas" w:eastAsia="Consolas" w:hAnsi="Consolas"/>
          <w:sz w:val="18"/>
          <w:szCs w:val="18"/>
        </w:rPr>
        <w:t xml:space="preserve">  -q "What caused the 503 errors for TENANT-X around 16:10?"</w:t>
      </w:r>
    </w:p>
    <w:p>
      <w:pPr>
        <w:pStyle w:val="Heading3"/>
      </w:pPr>
      <w:r>
        <w:t xml:space="preserve">Scenario 2 — high-volume noise demultiplexing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python -m rca.cli investigate data/auth_rate_limit_noise.log \</w:t>
      </w:r>
    </w:p>
    <w:p>
      <w:pPr>
        <w:pBdr>
          <w:left w:val="single" w:color="2E75B6" w:sz="18" w:space="8"/>
        </w:pBdr>
        <w:shd w:fill="F2F2F2" w:val="clear"/>
        <w:spacing w:after="160" w:line="252"/>
      </w:pPr>
      <w:r>
        <w:rPr>
          <w:rFonts w:ascii="Consolas" w:cs="Consolas" w:eastAsia="Consolas" w:hAnsi="Consolas"/>
          <w:sz w:val="18"/>
          <w:szCs w:val="18"/>
        </w:rPr>
        <w:t xml:space="preserve">  -q "Identify any system failures impacting TENANT-Z during the authentication volume spike."</w:t>
      </w:r>
    </w:p>
    <w:p>
      <w:pPr>
        <w:pStyle w:val="Heading3"/>
      </w:pPr>
      <w:r>
        <w:t xml:space="preserve">Corpus profile &amp; web UI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python -m rca.cli profile data/production_incident_01.log   # deterministic profile</w:t>
      </w:r>
    </w:p>
    <w:p>
      <w:pPr>
        <w:pBdr>
          <w:left w:val="single" w:color="2E75B6" w:sz="18" w:space="8"/>
        </w:pBdr>
        <w:shd w:fill="F2F2F2" w:val="clear"/>
        <w:spacing w:after="160" w:line="252"/>
      </w:pPr>
      <w:r>
        <w:rPr>
          <w:rFonts w:ascii="Consolas" w:cs="Consolas" w:eastAsia="Consolas" w:hAnsi="Consolas"/>
          <w:sz w:val="18"/>
          <w:szCs w:val="18"/>
        </w:rPr>
        <w:t xml:space="preserve">streamlit run src/rca/webapp.py                             # timeline + evidence UI</w:t>
      </w:r>
    </w:p>
    <w:p>
      <w:pPr>
        <w:spacing w:after="140" w:line="276"/>
      </w:pPr>
      <w:r>
        <w:t xml:space="preserve">Set </w:t>
      </w:r>
      <w:r>
        <w:rPr>
          <w:rFonts w:ascii="Consolas" w:cs="Consolas" w:eastAsia="Consolas" w:hAnsi="Consolas"/>
          <w:sz w:val="19"/>
          <w:szCs w:val="19"/>
        </w:rPr>
        <w:t xml:space="preserve">PYTHONPATH=src</w:t>
      </w:r>
      <w:r>
        <w:t xml:space="preserve"> if running without an editable install. Each investigation makes at most one LLM call (synthesis); the planner defaults to a deterministic heuristic.</w:t>
      </w:r>
    </w:p>
    <w:p>
      <w:pPr>
        <w:pStyle w:val="Heading1"/>
      </w:pPr>
      <w:r>
        <w:t xml:space="preserve">5. Repository Layout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76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src/rca/ingest/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reader · parser · drain_miner · normalize (deterministic pipeline)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src/rca/store/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schema · duckdb_store · vector_store (three indexing planes)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src/rca/agent/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llm_provider · tools · prompts · graph (LangGraph loop + BYOK)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src/rca/synth/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causal · report · lineage (verifiable chain + anti-hallucination)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src/rca/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cli.py · webapp.py · pipeline.py · config.py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tests/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test_ingest · test_scenarios (assert both scenarios with no LLM)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two provided log files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deliverables/, diagrams/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generated documents and rendered architecture diagrams</w:t>
            </w:r>
          </w:p>
        </w:tc>
      </w:tr>
    </w:tbl>
    <w:p>
      <w:pPr>
        <w:pStyle w:val="Heading1"/>
      </w:pPr>
      <w:r>
        <w:t xml:space="preserve">6. Execution Flow (Code Path)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pipeline.build_engine()</w:t>
      </w:r>
      <w:r>
        <w:t xml:space="preserve"> — ingest each file → DuckDBStore → optional vector index → RCAEngine.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ingest.normalize.ingest_file()</w:t>
      </w:r>
      <w:r>
        <w:t xml:space="preserve"> — reader (coalesce traces) → parser (regex) → Drain3 → LogEvent records.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agent.graph.RCAEngine.investigate()</w:t>
      </w:r>
      <w:r>
        <w:t xml:space="preserve"> — LangGraph plan → retrieve → reflect → synthesize.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synth.causal.build_causal_chain()</w:t>
      </w:r>
      <w:r>
        <w:t xml:space="preserve"> — deterministic trigger / transition / precursor / symptom classification.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synth.report.synthesize()</w:t>
      </w:r>
      <w:r>
        <w:t xml:space="preserve"> — deterministic narrative, optionally re-written by the LLM and citation-verified.</w:t>
      </w:r>
    </w:p>
    <w:p>
      <w:pPr>
        <w:pStyle w:val="Heading1"/>
      </w:pPr>
      <w:r>
        <w:t xml:space="preserve">7. Testing</w:t>
      </w:r>
    </w:p>
    <w:p>
      <w:pPr>
        <w:pBdr>
          <w:left w:val="single" w:color="2E75B6" w:sz="18" w:space="8"/>
        </w:pBdr>
        <w:shd w:fill="F2F2F2" w:val="clear"/>
        <w:spacing w:after="0" w:line="252"/>
      </w:pPr>
      <w:r>
        <w:rPr>
          <w:rFonts w:ascii="Consolas" w:cs="Consolas" w:eastAsia="Consolas" w:hAnsi="Consolas"/>
          <w:sz w:val="18"/>
          <w:szCs w:val="18"/>
        </w:rPr>
        <w:t xml:space="preserve">pytest -q</w:t>
      </w:r>
    </w:p>
    <w:p>
      <w:pPr>
        <w:pBdr>
          <w:left w:val="single" w:color="2E75B6" w:sz="18" w:space="8"/>
        </w:pBdr>
        <w:shd w:fill="F2F2F2" w:val="clear"/>
        <w:spacing w:after="160" w:line="252"/>
      </w:pPr>
      <w:r>
        <w:rPr>
          <w:rFonts w:ascii="Consolas" w:cs="Consolas" w:eastAsia="Consolas" w:hAnsi="Consolas"/>
          <w:sz w:val="18"/>
          <w:szCs w:val="18"/>
        </w:rPr>
        <w:t xml:space="preserve"># 8 tests: ingestion contract + both validation scenarios, all with NO LLM key.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676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Asserts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test_ingest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100% parse, stack-trace coalescing, 503 flood → 1 template, trigger template unique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test_scenarios (S1)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Root cause = connection-pool timeout; 503s are symptoms; chronology verified; trigger line cited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test_scenarios (S2)</w:t>
            </w:r>
          </w:p>
        </w:tc>
        <w:tc>
          <w:tcPr>
            <w:tcW w:type="dxa" w:w="6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Root cause = TENANT-Z token-validation timeout; TENANT-Y 429 flood excluded as noise</w:t>
            </w:r>
          </w:p>
        </w:tc>
      </w:tr>
    </w:tbl>
    <w:p>
      <w:pPr>
        <w:pStyle w:val="Heading1"/>
      </w:pPr>
      <w:r>
        <w:t xml:space="preserve">8. Configuration &amp; Security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All runtime knobs are environment variables (see </w:t>
      </w:r>
      <w:r>
        <w:rPr>
          <w:rFonts w:ascii="Consolas" w:cs="Consolas" w:eastAsia="Consolas" w:hAnsi="Consolas"/>
          <w:sz w:val="19"/>
          <w:szCs w:val="19"/>
        </w:rPr>
        <w:t xml:space="preserve">.env.example</w:t>
      </w:r>
      <w:r>
        <w:t xml:space="preserve">); no key is ever hardcoded.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Swap the model with </w:t>
      </w:r>
      <w:r>
        <w:rPr>
          <w:rFonts w:ascii="Consolas" w:cs="Consolas" w:eastAsia="Consolas" w:hAnsi="Consolas"/>
          <w:sz w:val="19"/>
          <w:szCs w:val="19"/>
        </w:rPr>
        <w:t xml:space="preserve">RCA_LLM_PROVIDER=gemini|openrouter|ollama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Dependencies pinned in </w:t>
      </w:r>
      <w:r>
        <w:rPr>
          <w:rFonts w:ascii="Consolas" w:cs="Consolas" w:eastAsia="Consolas" w:hAnsi="Consolas"/>
          <w:sz w:val="19"/>
          <w:szCs w:val="19"/>
        </w:rPr>
        <w:t xml:space="preserve">requirements.txt</w:t>
      </w:r>
      <w:r>
        <w:t xml:space="preserve">; metadata + entrypoint in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is git-ignored; the Ollama path keeps data fully on-machine for confidentiality.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360"/>
      </w:tabs>
    </w:pPr>
    <w:r>
      <w:rPr>
        <w:color w:val="595959"/>
        <w:sz w:val="16"/>
        <w:szCs w:val="16"/>
      </w:rPr>
      <w:t xml:space="preserve">COD-RCA-001 · v1.0 · Confidential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360"/>
      </w:tabs>
    </w:pPr>
    <w:r>
      <w:rPr>
        <w:color w:val="595959"/>
        <w:sz w:val="16"/>
        <w:szCs w:val="16"/>
      </w:rPr>
      <w:t xml:space="preserve">Prototype Code &amp; How-to-Run Guide</w:t>
    </w:r>
    <w:r>
      <w:rPr>
        <w:color w:val="595959"/>
        <w:sz w:val="16"/>
        <w:szCs w:val="16"/>
      </w:rPr>
      <w:t xml:space="preserve">	Log Intelligence Platform · RCA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E2F3" w:sz="4" w:space="4"/>
      </w:pBdr>
      <w:spacing w:after="140" w:before="30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Code &amp; How-to-Run Guide</dc:title>
  <dc:creator>Darshak Kakani</dc:creator>
  <dc:description>Prototype Code &amp; How-to-Run Guide</dc:description>
  <cp:lastModifiedBy>Un-named</cp:lastModifiedBy>
  <cp:revision>1</cp:revision>
  <dcterms:created xsi:type="dcterms:W3CDTF">2026-06-18T15:49:29.149Z</dcterms:created>
  <dcterms:modified xsi:type="dcterms:W3CDTF">2026-06-18T15:49:29.150Z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