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447"/>
          <w:sz w:val="32"/>
        </w:rPr>
        <w:t>NORTHWIND MEDICAL CENTER</w:t>
      </w:r>
    </w:p>
    <w:p>
      <w:r>
        <w:rPr>
          <w:color w:val="475569"/>
          <w:sz w:val="18"/>
        </w:rPr>
        <w:t>Department of General Surgery  ·  1450 Marina Boulevard, San Francisco, CA 94133  ·  Tel (415) 555-0199</w:t>
      </w:r>
    </w:p>
    <w:p/>
    <w:p>
      <w:pPr>
        <w:pStyle w:val="Heading1"/>
      </w:pPr>
      <w:r>
        <w:rPr>
          <w:color w:val="0B2447"/>
        </w:rPr>
        <w:t>Discharge Summary</w:t>
      </w:r>
    </w:p>
    <w:p>
      <w:pPr>
        <w:pStyle w:val="Heading2"/>
      </w:pPr>
      <w:r>
        <w:t>Patient Demographics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 name</w:t>
            </w:r>
          </w:p>
        </w:tc>
        <w:tc>
          <w:tcPr>
            <w:tcW w:type="dxa" w:w="4320"/>
          </w:tcPr>
          <w:p>
            <w:r>
              <w:t>Member, Jane Q.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1986-04-22  (age 39)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t>Medical record number</w:t>
            </w:r>
          </w:p>
        </w:tc>
        <w:tc>
          <w:tcPr>
            <w:tcW w:type="dxa" w:w="4320"/>
          </w:tcPr>
          <w:p>
            <w:r>
              <w:t>NMC-447120</w:t>
            </w:r>
          </w:p>
        </w:tc>
      </w:tr>
      <w:tr>
        <w:tc>
          <w:tcPr>
            <w:tcW w:type="dxa" w:w="4320"/>
          </w:tcPr>
          <w:p>
            <w:r>
              <w:t>Insurance</w:t>
            </w:r>
          </w:p>
        </w:tc>
        <w:tc>
          <w:tcPr>
            <w:tcW w:type="dxa" w:w="4320"/>
          </w:tcPr>
          <w:p>
            <w:r>
              <w:t>Contoso Mutual — Gold Shield Plan · Policy GS-2024-88811</w:t>
            </w:r>
          </w:p>
        </w:tc>
      </w:tr>
      <w:tr>
        <w:tc>
          <w:tcPr>
            <w:tcW w:type="dxa" w:w="4320"/>
          </w:tcPr>
          <w:p>
            <w:r>
              <w:t>Admitting physician</w:t>
            </w:r>
          </w:p>
        </w:tc>
        <w:tc>
          <w:tcPr>
            <w:tcW w:type="dxa" w:w="4320"/>
          </w:tcPr>
          <w:p>
            <w:r>
              <w:t>Aisha Karim, MD</w:t>
            </w:r>
          </w:p>
        </w:tc>
      </w:tr>
      <w:tr>
        <w:tc>
          <w:tcPr>
            <w:tcW w:type="dxa" w:w="4320"/>
          </w:tcPr>
          <w:p>
            <w:r>
              <w:t>Attending surgeon</w:t>
            </w:r>
          </w:p>
        </w:tc>
        <w:tc>
          <w:tcPr>
            <w:tcW w:type="dxa" w:w="4320"/>
          </w:tcPr>
          <w:p>
            <w:r>
              <w:t>Daniel Okafor, MD, FACS</w:t>
            </w:r>
          </w:p>
        </w:tc>
      </w:tr>
      <w:tr>
        <w:tc>
          <w:tcPr>
            <w:tcW w:type="dxa" w:w="4320"/>
          </w:tcPr>
          <w:p>
            <w:r>
              <w:t>Admission date</w:t>
            </w:r>
          </w:p>
        </w:tc>
        <w:tc>
          <w:tcPr>
            <w:tcW w:type="dxa" w:w="4320"/>
          </w:tcPr>
          <w:p>
            <w:r>
              <w:t>14 March 2026, 23:47 PST</w:t>
            </w:r>
          </w:p>
        </w:tc>
      </w:tr>
      <w:tr>
        <w:tc>
          <w:tcPr>
            <w:tcW w:type="dxa" w:w="4320"/>
          </w:tcPr>
          <w:p>
            <w:r>
              <w:t>Discharge date</w:t>
            </w:r>
          </w:p>
        </w:tc>
        <w:tc>
          <w:tcPr>
            <w:tcW w:type="dxa" w:w="4320"/>
          </w:tcPr>
          <w:p>
            <w:r>
              <w:t>16 March 2026, 11:20 PST</w:t>
            </w:r>
          </w:p>
        </w:tc>
      </w:tr>
      <w:tr>
        <w:tc>
          <w:tcPr>
            <w:tcW w:type="dxa" w:w="4320"/>
          </w:tcPr>
          <w:p>
            <w:r>
              <w:t>Length of stay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</w:tbl>
    <w:p/>
    <w:p>
      <w:pPr>
        <w:pStyle w:val="Heading2"/>
      </w:pPr>
      <w:r>
        <w:t>Reason for Admission</w:t>
      </w:r>
    </w:p>
    <w:p>
      <w:r>
        <w:t>The patient was admitted via the Emergency Department with a 14-hour history of severe right lower quadrant abdominal pain, nausea and a single episode of non-bilious emesis. Clinical examination revealed localized tenderness with rebound at McBurney's point; Rovsing's sign positive. Vital signs on presentation: T 38.4 °C, HR 104, BP 122/78, SpO₂ 99% on room air.</w:t>
      </w:r>
    </w:p>
    <w:p>
      <w:pPr>
        <w:pStyle w:val="Heading2"/>
      </w:pPr>
      <w:r>
        <w:t>Investigations</w:t>
      </w:r>
    </w:p>
    <w:p>
      <w:r>
        <w:t>Laboratory: WBC 14.8 ×10⁹/L with 82% neutrophils; CRP 96 mg/L; lactate 1.1 mmol/L; remainder of basic metabolic panel within normal limits.</w:t>
        <w:br/>
        <w:t>Imaging: Contrast-enhanced CT abdomen and pelvis demonstrated a dilated, non-compressible appendix measuring 11 mm with surrounding fat stranding; no evidence of perforation or abscess.</w:t>
      </w:r>
    </w:p>
    <w:p>
      <w:pPr>
        <w:pStyle w:val="Heading2"/>
      </w:pPr>
      <w:r>
        <w:t>Diagnosis</w:t>
      </w:r>
    </w:p>
    <w:p>
      <w:r>
        <w:t>Acute appendicitis without perforation (ICD-10 K35.80).</w:t>
      </w:r>
    </w:p>
    <w:p>
      <w:pPr>
        <w:pStyle w:val="Heading2"/>
      </w:pPr>
      <w:r>
        <w:t>Clinical Course and Procedures</w:t>
      </w:r>
    </w:p>
    <w:p>
      <w:r>
        <w:t>The patient consented to and underwent laparoscopic appendectomy (CPT 44970) on 15 March 2026 at 02:10 PST. Intra-operative findings confirmed an inflamed, non-perforated appendix; histopathology subsequently demonstrated acute suppurative appendicitis. The procedure was uncomplicated; estimated blood loss was 20 mL. Postoperative recovery was uneventful: the patient tolerated oral fluids on the morning of postoperative day 1, ambulated independently, and pain was well controlled on a stepped-down regimen.</w:t>
      </w:r>
    </w:p>
    <w:p>
      <w:pPr>
        <w:pStyle w:val="Heading2"/>
      </w:pPr>
      <w:r>
        <w:t>Medications on Discharge</w:t>
      </w:r>
    </w:p>
    <w:p>
      <w:r>
        <w:t>- Amoxicillin-clavulanate 875 mg orally twice daily for 7 days</w:t>
        <w:br/>
        <w:t>- Acetaminophen 1 g orally every 6 hours as needed for pain (max 4 g/day)</w:t>
        <w:br/>
        <w:t>- Ondansetron 4 mg orally every 8 hours as needed for nausea, for 48 hours</w:t>
      </w:r>
    </w:p>
    <w:p>
      <w:pPr>
        <w:pStyle w:val="Heading2"/>
      </w:pPr>
      <w:r>
        <w:t>Follow-up Instructions</w:t>
      </w:r>
    </w:p>
    <w:p>
      <w:r>
        <w:t>Outpatient surgical review with Dr. Okafor in 14 days. The patient is advised no heavy lifting (&gt;5 kg) for 4 weeks and to avoid driving until cleared at follow-up. Patient should return to the Emergency Department promptly if she develops fever &gt;38.5 °C, increasing abdominal pain, persistent vomiting, or wound discharge.</w:t>
      </w:r>
    </w:p>
    <w:p>
      <w:pPr>
        <w:pStyle w:val="Heading2"/>
      </w:pPr>
      <w:r>
        <w:t>Insurance and Billing Notes</w:t>
      </w:r>
    </w:p>
    <w:p>
      <w:r>
        <w:t>Itemized hospital charges totalling $12,450.00 have been transmitted electronically to Contoso Mutual Insurance under claim CF-102 reference 2026-03-22-994127. The patient has been counselled regarding her policy deductible ($500.00) and 20% co-insurance under the Gold Shield Schedule of Benefits.</w:t>
      </w:r>
    </w:p>
    <w:p>
      <w:r>
        <w:rPr>
          <w:i/>
        </w:rPr>
        <w:br/>
        <w:t>Electronically signed: Daniel Okafor, MD, FACS  ·  License CA-A47391  ·  16 March 2026  17:42 PST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