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6B7B91"/>
          <w:sz w:val="18"/>
        </w:rPr>
        <w:t>ENTERPRISE SUPPORT OPERATIONS  |  CONTROLLED KNOWLEDGE BASE</w:t>
      </w:r>
    </w:p>
    <w:p>
      <w:pPr>
        <w:jc w:val="center"/>
      </w:pPr>
      <w:r>
        <w:rPr>
          <w:rFonts w:ascii="Cambria" w:hAnsi="Cambria"/>
          <w:b/>
          <w:color w:val="1F4474"/>
          <w:sz w:val="60"/>
        </w:rPr>
        <w:t>Enterprise Complaint Routing Knowledge Base</w:t>
      </w:r>
    </w:p>
    <w:p>
      <w:pPr>
        <w:jc w:val="center"/>
      </w:pPr>
      <w:r>
        <w:rPr>
          <w:rFonts w:ascii="Cambria" w:hAnsi="Cambria"/>
          <w:b w:val="0"/>
          <w:color w:val="6B7B91"/>
          <w:sz w:val="26"/>
        </w:rPr>
        <w:t>Operational resolution procedures, diagnostics, routing guidance and approved resolver playbooks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16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9"/>
              </w:rPr>
              <w:t>Document control</w:t>
            </w:r>
          </w:p>
        </w:tc>
        <w:tc>
          <w:tcPr>
            <w:tcW w:type="dxa" w:w="662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9"/>
              </w:rPr>
              <w:t>Value</w:t>
            </w:r>
          </w:p>
        </w:tc>
      </w:tr>
      <w:tr>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Knowledge Base ID</w:t>
            </w:r>
          </w:p>
        </w:tc>
        <w:tc>
          <w:tcPr>
            <w:tcW w:type="dxa" w:w="66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KB-ESOPS-001</w:t>
            </w:r>
          </w:p>
        </w:tc>
      </w:tr>
      <w:tr>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Version</w:t>
            </w:r>
          </w:p>
        </w:tc>
        <w:tc>
          <w:tcPr>
            <w:tcW w:type="dxa" w:w="66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1.0</w:t>
            </w:r>
          </w:p>
        </w:tc>
      </w:tr>
      <w:tr>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Owner</w:t>
            </w:r>
          </w:p>
        </w:tc>
        <w:tc>
          <w:tcPr>
            <w:tcW w:type="dxa" w:w="66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Enterprise Support Operations</w:t>
            </w:r>
          </w:p>
        </w:tc>
      </w:tr>
      <w:tr>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Classification</w:t>
            </w:r>
          </w:p>
        </w:tc>
        <w:tc>
          <w:tcPr>
            <w:tcW w:type="dxa" w:w="66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Internal Use / Controlled</w:t>
            </w:r>
          </w:p>
        </w:tc>
      </w:tr>
      <w:tr>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Effective Date</w:t>
            </w:r>
          </w:p>
        </w:tc>
        <w:tc>
          <w:tcPr>
            <w:tcW w:type="dxa" w:w="66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25 August 2026</w:t>
            </w:r>
          </w:p>
        </w:tc>
      </w:tr>
      <w:tr>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Review Cycle</w:t>
            </w:r>
          </w:p>
        </w:tc>
        <w:tc>
          <w:tcPr>
            <w:tcW w:type="dxa" w:w="66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9"/>
              </w:rPr>
              <w:t>Quarterly and after material process/model changes</w:t>
            </w:r>
          </w:p>
        </w:tc>
      </w:tr>
    </w:tbl>
    <w:p>
      <w:pPr>
        <w:spacing w:after="20"/>
      </w:pPr>
    </w:p>
    <w:tbl>
      <w:tblPr>
        <w:tblW w:type="auto" w:w="0"/>
        <w:jc w:val="center"/>
        <w:tblLook w:firstColumn="1" w:firstRow="1" w:lastColumn="0" w:lastRow="0" w:noHBand="0" w:noVBand="1" w:val="04A0"/>
      </w:tblPr>
      <w:tblGrid>
        <w:gridCol w:w="10454"/>
      </w:tblGrid>
      <w:tr>
        <w:tc>
          <w:tcPr>
            <w:tcW w:type="dxa" w:w="10454"/>
            <w:shd w:fill="EEF3F8"/>
            <w:tcBorders>
              <w:top w:val="single" w:sz="9" w:space="0" w:color="2B67B1"/>
              <w:left w:val="single" w:sz="9" w:space="0" w:color="2B67B1"/>
              <w:bottom w:val="single" w:sz="9" w:space="0" w:color="2B67B1"/>
              <w:right w:val="single" w:sz="9" w:space="0" w:color="2B67B1"/>
              <w:insideH w:val="single" w:sz="9" w:space="0" w:color="2B67B1"/>
              <w:insideV w:val="single" w:sz="9" w:space="0" w:color="2B67B1"/>
            </w:tcBorders>
            <w:tcMar>
              <w:top w:w="100" w:type="dxa"/>
              <w:start w:w="120" w:type="dxa"/>
              <w:bottom w:w="100" w:type="dxa"/>
              <w:end w:w="120" w:type="dxa"/>
            </w:tcMar>
          </w:tcPr>
          <w:p>
            <w:r>
              <w:rPr>
                <w:rFonts w:ascii="Cambria" w:hAnsi="Cambria"/>
                <w:b/>
                <w:color w:val="1F4474"/>
                <w:sz w:val="16"/>
              </w:rPr>
              <w:t>PURPOSE</w:t>
            </w:r>
            <w:r>
              <w:rPr>
                <w:rFonts w:ascii="Cambria" w:hAnsi="Cambria"/>
                <w:b w:val="0"/>
                <w:color w:val="25364D"/>
                <w:sz w:val="17"/>
              </w:rPr>
              <w:br/>
              <w:t>This knowledge base is the operational reference for resolving common complaint patterns in the enterprise complaint-routing platform. It is structured for human resolver use and later retrieval by the AI resolution assistant.</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GOVERNANCE</w:t>
            </w:r>
            <w:r>
              <w:rPr>
                <w:rFonts w:ascii="Cambria" w:hAnsi="Cambria"/>
                <w:b w:val="0"/>
                <w:color w:val="25364D"/>
                <w:sz w:val="17"/>
              </w:rPr>
              <w:br/>
              <w:t>Articles are approved operational guidance. They do not authorize irreversible actions, credential disclosure, financial adjustments or security exceptions without appropriate policy and approval.</w:t>
            </w:r>
          </w:p>
        </w:tc>
      </w:tr>
    </w:tbl>
    <w:p>
      <w:pPr>
        <w:spacing w:after="20"/>
      </w:pPr>
    </w:p>
    <w:p>
      <w:pPr>
        <w:jc w:val="center"/>
      </w:pPr>
      <w:r>
        <w:rPr>
          <w:rFonts w:ascii="Cambria" w:hAnsi="Cambria"/>
          <w:b w:val="0"/>
          <w:color w:val="6B7B91"/>
          <w:sz w:val="20"/>
        </w:rPr>
        <w:t>Prepared for: Customer Support, Service Desk, Resolver Teams, Operations Managers, Platform Administrators and AI-assisted Support Operations</w:t>
      </w:r>
    </w:p>
    <w:p>
      <w:r>
        <w:br w:type="page"/>
      </w:r>
    </w:p>
    <w:p>
      <w:pPr>
        <w:pStyle w:val="Heading1"/>
        <w:pBdr>
          <w:bottom w:val="single" w:sz="10" w:space="5" w:color="2B67B1"/>
        </w:pBdr>
      </w:pPr>
      <w:r>
        <w:rPr>
          <w:rFonts w:ascii="Cambria" w:hAnsi="Cambria"/>
          <w:b/>
          <w:color w:val="1F4474"/>
          <w:sz w:val="34"/>
        </w:rPr>
        <w:t>1. Knowledge Base Operating Model</w:t>
      </w:r>
    </w:p>
    <w:p>
      <w:pPr>
        <w:spacing w:after="60" w:line="252" w:lineRule="auto"/>
      </w:pPr>
      <w:r>
        <w:rPr>
          <w:rFonts w:ascii="Cambria" w:hAnsi="Cambria"/>
          <w:b w:val="0"/>
          <w:color w:val="25364D"/>
          <w:sz w:val="18"/>
        </w:rPr>
        <w:t>This knowledge base is designed as a controlled, article-based operational library. Each article has a stable identifier, a defined audience, symptoms, likely causes, safe procedures, validation criteria and escalation conditions. The same structure supports human search, semantic retrieval and future GraphRAG or retrieval-augmented generation workflows.</w:t>
      </w:r>
    </w:p>
    <w:p>
      <w:pPr>
        <w:pStyle w:val="Heading2"/>
      </w:pPr>
      <w:r>
        <w:rPr>
          <w:rFonts w:ascii="Cambria" w:hAnsi="Cambria"/>
          <w:b/>
          <w:color w:val="2B67B1"/>
          <w:sz w:val="26"/>
        </w:rPr>
        <w:t>1.1 How to use an article</w:t>
      </w:r>
    </w:p>
    <w:p>
      <w:pPr>
        <w:pStyle w:val="ListBullet"/>
        <w:spacing w:after="60"/>
      </w:pPr>
      <w:r>
        <w:rPr>
          <w:rFonts w:ascii="Cambria" w:hAnsi="Cambria"/>
          <w:b w:val="0"/>
          <w:color w:val="25364D"/>
          <w:sz w:val="16"/>
        </w:rPr>
        <w:t>Identify the ticket symptom and confirm that the article applies before executing steps.</w:t>
      </w:r>
    </w:p>
    <w:p>
      <w:pPr>
        <w:pStyle w:val="ListBullet"/>
        <w:spacing w:after="60"/>
      </w:pPr>
      <w:r>
        <w:rPr>
          <w:rFonts w:ascii="Cambria" w:hAnsi="Cambria"/>
          <w:b w:val="0"/>
          <w:color w:val="25364D"/>
          <w:sz w:val="16"/>
        </w:rPr>
        <w:t>Use the current ticket data, SLA state, category, subcategory, customer impact and existing audit trail as the primary context.</w:t>
      </w:r>
    </w:p>
    <w:p>
      <w:pPr>
        <w:pStyle w:val="ListBullet"/>
        <w:spacing w:after="60"/>
      </w:pPr>
      <w:r>
        <w:rPr>
          <w:rFonts w:ascii="Cambria" w:hAnsi="Cambria"/>
          <w:b w:val="0"/>
          <w:color w:val="25364D"/>
          <w:sz w:val="16"/>
        </w:rPr>
        <w:t>Execute only steps authorized for the resolver role. Do not invent system facts or claim that a remediation succeeded without verification.</w:t>
      </w:r>
    </w:p>
    <w:p>
      <w:pPr>
        <w:pStyle w:val="ListBullet"/>
        <w:spacing w:after="60"/>
      </w:pPr>
      <w:r>
        <w:rPr>
          <w:rFonts w:ascii="Cambria" w:hAnsi="Cambria"/>
          <w:b w:val="0"/>
          <w:color w:val="25364D"/>
          <w:sz w:val="16"/>
        </w:rPr>
        <w:t>Record material actions in the ticket timeline or internal comment stream where available.</w:t>
      </w:r>
    </w:p>
    <w:p>
      <w:pPr>
        <w:pStyle w:val="ListBullet"/>
        <w:spacing w:after="60"/>
      </w:pPr>
      <w:r>
        <w:rPr>
          <w:rFonts w:ascii="Cambria" w:hAnsi="Cambria"/>
          <w:b w:val="0"/>
          <w:color w:val="25364D"/>
          <w:sz w:val="16"/>
        </w:rPr>
        <w:t>Escalate when the article says to escalate, when evidence contradicts the article, or when the ticket crosses an approval boundary.</w:t>
      </w:r>
    </w:p>
    <w:p>
      <w:pPr>
        <w:pStyle w:val="Heading2"/>
      </w:pPr>
      <w:r>
        <w:rPr>
          <w:rFonts w:ascii="Cambria" w:hAnsi="Cambria"/>
          <w:b/>
          <w:color w:val="2B67B1"/>
          <w:sz w:val="26"/>
        </w:rPr>
        <w:t>1.2 Article taxonomy</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37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Domain</w:t>
            </w:r>
          </w:p>
        </w:tc>
        <w:tc>
          <w:tcPr>
            <w:tcW w:type="dxa" w:w="223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Typical article IDs</w:t>
            </w:r>
          </w:p>
        </w:tc>
        <w:tc>
          <w:tcPr>
            <w:tcW w:type="dxa" w:w="518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Primary resolver use</w:t>
            </w:r>
          </w:p>
        </w:tc>
      </w:tr>
      <w:tr>
        <w:tc>
          <w:tcPr>
            <w:tcW w:type="dxa" w:w="23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Identity &amp; Access</w:t>
            </w:r>
          </w:p>
        </w:tc>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KB-ACC-001 to 003</w:t>
            </w:r>
          </w:p>
        </w:tc>
        <w:tc>
          <w:tcPr>
            <w:tcW w:type="dxa" w:w="51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Login, password, account lockout, identity compromise</w:t>
            </w:r>
          </w:p>
        </w:tc>
      </w:tr>
      <w:tr>
        <w:tc>
          <w:tcPr>
            <w:tcW w:type="dxa" w:w="23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 &amp; Privacy</w:t>
            </w:r>
          </w:p>
        </w:tc>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KB-SEC-001 to 003</w:t>
            </w:r>
          </w:p>
        </w:tc>
        <w:tc>
          <w:tcPr>
            <w:tcW w:type="dxa" w:w="51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Suspicious login, data exposure, unauthorized access</w:t>
            </w:r>
          </w:p>
        </w:tc>
      </w:tr>
      <w:tr>
        <w:tc>
          <w:tcPr>
            <w:tcW w:type="dxa" w:w="23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Billing &amp; Subscription</w:t>
            </w:r>
          </w:p>
        </w:tc>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KB-FIN-001 to 003</w:t>
            </w:r>
          </w:p>
        </w:tc>
        <w:tc>
          <w:tcPr>
            <w:tcW w:type="dxa" w:w="51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Duplicate charges, payment, subscription activation/refunds</w:t>
            </w:r>
          </w:p>
        </w:tc>
      </w:tr>
      <w:tr>
        <w:tc>
          <w:tcPr>
            <w:tcW w:type="dxa" w:w="23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Technical &amp; Availability</w:t>
            </w:r>
          </w:p>
        </w:tc>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KB-TECH-001 to 004</w:t>
            </w:r>
          </w:p>
        </w:tc>
        <w:tc>
          <w:tcPr>
            <w:tcW w:type="dxa" w:w="51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Service outage, connectivity, integration/API issues</w:t>
            </w:r>
          </w:p>
        </w:tc>
      </w:tr>
      <w:tr>
        <w:tc>
          <w:tcPr>
            <w:tcW w:type="dxa" w:w="23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Platform Operations</w:t>
            </w:r>
          </w:p>
        </w:tc>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KB-OPS-001 to 004</w:t>
            </w:r>
          </w:p>
        </w:tc>
        <w:tc>
          <w:tcPr>
            <w:tcW w:type="dxa" w:w="51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Routing, SLA, assignment, notification and workflow problems</w:t>
            </w:r>
          </w:p>
        </w:tc>
      </w:tr>
      <w:tr>
        <w:tc>
          <w:tcPr>
            <w:tcW w:type="dxa" w:w="23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AI-assisted Resolution</w:t>
            </w:r>
          </w:p>
        </w:tc>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KB-AI-001 to 002</w:t>
            </w:r>
          </w:p>
        </w:tc>
        <w:tc>
          <w:tcPr>
            <w:tcW w:type="dxa" w:w="51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AI recommendation use and similar-case analysis</w:t>
            </w:r>
          </w:p>
        </w:tc>
      </w:tr>
    </w:tbl>
    <w:p>
      <w:pPr>
        <w:spacing w:after="20"/>
      </w:pPr>
    </w:p>
    <w:p>
      <w:pPr>
        <w:pStyle w:val="Heading2"/>
      </w:pPr>
      <w:r>
        <w:rPr>
          <w:rFonts w:ascii="Cambria" w:hAnsi="Cambria"/>
          <w:b/>
          <w:color w:val="2B67B1"/>
          <w:sz w:val="26"/>
        </w:rPr>
        <w:t>1.3 Retrieval fields</w:t>
      </w:r>
    </w:p>
    <w:p>
      <w:pPr>
        <w:spacing w:after="60" w:line="252" w:lineRule="auto"/>
      </w:pPr>
      <w:r>
        <w:rPr>
          <w:rFonts w:ascii="Cambria" w:hAnsi="Cambria"/>
          <w:b w:val="0"/>
          <w:color w:val="25364D"/>
          <w:sz w:val="18"/>
        </w:rPr>
        <w:t>Recommended metadata for indexing: article_id, title, domain, product_area, symptom, category, subcategory, priority, resolver_role, keywords, prerequisites, procedure, validation, escalation, related_article_ids, effective_date, owner, version.</w:t>
      </w:r>
    </w:p>
    <w:tbl>
      <w:tblPr>
        <w:tblW w:type="auto" w:w="0"/>
        <w:jc w:val="center"/>
        <w:tblLook w:firstColumn="1" w:firstRow="1" w:lastColumn="0" w:lastRow="0" w:noHBand="0" w:noVBand="1" w:val="04A0"/>
      </w:tblPr>
      <w:tblGrid>
        <w:gridCol w:w="10454"/>
      </w:tblGrid>
      <w:tr>
        <w:tc>
          <w:tcPr>
            <w:tcW w:type="dxa" w:w="10454"/>
            <w:shd w:fill="EEF3F8"/>
            <w:tcBorders>
              <w:top w:val="single" w:sz="9" w:space="0" w:color="2B67B1"/>
              <w:left w:val="single" w:sz="9" w:space="0" w:color="2B67B1"/>
              <w:bottom w:val="single" w:sz="9" w:space="0" w:color="2B67B1"/>
              <w:right w:val="single" w:sz="9" w:space="0" w:color="2B67B1"/>
              <w:insideH w:val="single" w:sz="9" w:space="0" w:color="2B67B1"/>
              <w:insideV w:val="single" w:sz="9" w:space="0" w:color="2B67B1"/>
            </w:tcBorders>
            <w:tcMar>
              <w:top w:w="100" w:type="dxa"/>
              <w:start w:w="120" w:type="dxa"/>
              <w:bottom w:w="100" w:type="dxa"/>
              <w:end w:w="120" w:type="dxa"/>
            </w:tcMar>
          </w:tcPr>
          <w:p>
            <w:r>
              <w:rPr>
                <w:rFonts w:ascii="Cambria" w:hAnsi="Cambria"/>
                <w:b/>
                <w:color w:val="1F4474"/>
                <w:sz w:val="16"/>
              </w:rPr>
              <w:t>RETRIEVAL PRINCIPLE</w:t>
            </w:r>
            <w:r>
              <w:rPr>
                <w:rFonts w:ascii="Cambria" w:hAnsi="Cambria"/>
                <w:b w:val="0"/>
                <w:color w:val="25364D"/>
                <w:sz w:val="17"/>
              </w:rPr>
              <w:br/>
              <w:t>The best retrieval result is not necessarily the most similar sentence. Prefer an article with the correct category, subcategory, resolver role and operational condition, then use text similarity to rank within that filtered set.</w:t>
            </w:r>
          </w:p>
        </w:tc>
      </w:tr>
    </w:tbl>
    <w:p>
      <w:pPr>
        <w:spacing w:after="20"/>
      </w:pPr>
    </w:p>
    <w:p>
      <w:r>
        <w:br w:type="page"/>
      </w:r>
    </w:p>
    <w:p>
      <w:pPr>
        <w:pStyle w:val="Heading1"/>
        <w:pBdr>
          <w:bottom w:val="single" w:sz="10" w:space="5" w:color="2B67B1"/>
        </w:pBdr>
      </w:pPr>
      <w:r>
        <w:rPr>
          <w:rFonts w:ascii="Cambria" w:hAnsi="Cambria"/>
          <w:b/>
          <w:color w:val="1F4474"/>
          <w:sz w:val="34"/>
        </w:rPr>
        <w:t>2. Priority, SLA and Routing Decision Reference</w:t>
      </w:r>
    </w:p>
    <w:p>
      <w:pPr>
        <w:spacing w:after="60" w:line="252" w:lineRule="auto"/>
      </w:pPr>
      <w:r>
        <w:rPr>
          <w:rFonts w:ascii="Cambria" w:hAnsi="Cambria"/>
          <w:b w:val="0"/>
          <w:color w:val="25364D"/>
          <w:sz w:val="18"/>
        </w:rPr>
        <w:t>Use this page as the fast operational matrix before opening a detailed article. Final priority remains subject to the platform priority engine and authorized operational override.</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15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Priority</w:t>
            </w:r>
          </w:p>
        </w:tc>
        <w:tc>
          <w:tcPr>
            <w:tcW w:type="dxa" w:w="345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Typical business condition</w:t>
            </w:r>
          </w:p>
        </w:tc>
        <w:tc>
          <w:tcPr>
            <w:tcW w:type="dxa" w:w="288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Default response posture</w:t>
            </w:r>
          </w:p>
        </w:tc>
        <w:tc>
          <w:tcPr>
            <w:tcW w:type="dxa" w:w="288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Resolver guidance</w:t>
            </w:r>
          </w:p>
        </w:tc>
      </w:tr>
      <w:tr>
        <w:tc>
          <w:tcPr>
            <w:tcW w:type="dxa" w:w="115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 compromise, broad outage, severe business stoppage, major financial exposure</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Immediate triage; shortest SLA; escalation readiness</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experienced resolver, prefer strongest skill fit and appropriate on-call coverage</w:t>
            </w:r>
          </w:p>
        </w:tc>
      </w:tr>
      <w:tr>
        <w:tc>
          <w:tcPr>
            <w:tcW w:type="dxa" w:w="115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Material business impact, customer-blocking failure, significant payment/subscription problem</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Prompt assignment; monitor SLA closely</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Prefer skilled resolver with available capacity and healthy SLA exposure</w:t>
            </w:r>
          </w:p>
        </w:tc>
      </w:tr>
      <w:tr>
        <w:tc>
          <w:tcPr>
            <w:tcW w:type="dxa" w:w="115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Medium</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Contained operational issue, common account or billing issue</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Standard queue handling</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balanced workload and skill fit</w:t>
            </w:r>
          </w:p>
        </w:tc>
      </w:tr>
      <w:tr>
        <w:tc>
          <w:tcPr>
            <w:tcW w:type="dxa" w:w="115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Low</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Information, appreciation, minor issue, non-blocking request</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Normal queue; avoid overloading critical specialists</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general technical/support capacity where appropriate</w:t>
            </w:r>
          </w:p>
        </w:tc>
      </w:tr>
    </w:tbl>
    <w:p>
      <w:pPr>
        <w:spacing w:after="20"/>
      </w:pPr>
    </w:p>
    <w:p>
      <w:pPr>
        <w:pStyle w:val="Heading2"/>
      </w:pPr>
      <w:r>
        <w:rPr>
          <w:rFonts w:ascii="Cambria" w:hAnsi="Cambria"/>
          <w:b/>
          <w:color w:val="2B67B1"/>
          <w:sz w:val="26"/>
        </w:rPr>
        <w:t>2.1 Resolver assignment gates</w:t>
      </w:r>
    </w:p>
    <w:p>
      <w:pPr>
        <w:pStyle w:val="ListBullet"/>
        <w:spacing w:after="60"/>
      </w:pPr>
      <w:r>
        <w:rPr>
          <w:rFonts w:ascii="Cambria" w:hAnsi="Cambria"/>
          <w:b w:val="0"/>
          <w:color w:val="25364D"/>
          <w:sz w:val="16"/>
        </w:rPr>
        <w:t>Correct operational team is a hard boundary for automatic routing.</w:t>
      </w:r>
    </w:p>
    <w:p>
      <w:pPr>
        <w:pStyle w:val="ListBullet"/>
        <w:spacing w:after="60"/>
      </w:pPr>
      <w:r>
        <w:rPr>
          <w:rFonts w:ascii="Cambria" w:hAnsi="Cambria"/>
          <w:b w:val="0"/>
          <w:color w:val="25364D"/>
          <w:sz w:val="16"/>
        </w:rPr>
        <w:t>Resolver must be active and configured for automatic assignment.</w:t>
      </w:r>
    </w:p>
    <w:p>
      <w:pPr>
        <w:pStyle w:val="ListBullet"/>
        <w:spacing w:after="60"/>
      </w:pPr>
      <w:r>
        <w:rPr>
          <w:rFonts w:ascii="Cambria" w:hAnsi="Cambria"/>
          <w:b w:val="0"/>
          <w:color w:val="25364D"/>
          <w:sz w:val="16"/>
        </w:rPr>
        <w:t>Normal automatic routing requires workforce eligibility, schedule alignment and capacity availability.</w:t>
      </w:r>
    </w:p>
    <w:p>
      <w:pPr>
        <w:pStyle w:val="ListBullet"/>
        <w:spacing w:after="60"/>
      </w:pPr>
      <w:r>
        <w:rPr>
          <w:rFonts w:ascii="Cambria" w:hAnsi="Cambria"/>
          <w:b w:val="0"/>
          <w:color w:val="25364D"/>
          <w:sz w:val="16"/>
        </w:rPr>
        <w:t>Skill fit influences ranking; it does not replace a hard eligibility rule.</w:t>
      </w:r>
    </w:p>
    <w:p>
      <w:pPr>
        <w:pStyle w:val="ListBullet"/>
        <w:spacing w:after="60"/>
      </w:pPr>
      <w:r>
        <w:rPr>
          <w:rFonts w:ascii="Cambria" w:hAnsi="Cambria"/>
          <w:b w:val="0"/>
          <w:color w:val="25364D"/>
          <w:sz w:val="16"/>
        </w:rPr>
        <w:t>Priority load and SLA exposure reduce the score of heavily burdened resolvers.</w:t>
      </w:r>
    </w:p>
    <w:p>
      <w:pPr>
        <w:pStyle w:val="ListBullet"/>
        <w:spacing w:after="60"/>
      </w:pPr>
      <w:r>
        <w:rPr>
          <w:rFonts w:ascii="Cambria" w:hAnsi="Cambria"/>
          <w:b w:val="0"/>
          <w:color w:val="25364D"/>
          <w:sz w:val="16"/>
        </w:rPr>
        <w:t>On-call routing is an emergency fallback for defined priority conditions when normal workforce candidates are unavailable.</w:t>
      </w:r>
    </w:p>
    <w:p>
      <w:pPr>
        <w:pStyle w:val="ListBullet"/>
        <w:spacing w:after="60"/>
      </w:pPr>
      <w:r>
        <w:rPr>
          <w:rFonts w:ascii="Cambria" w:hAnsi="Cambria"/>
          <w:b w:val="0"/>
          <w:color w:val="25364D"/>
          <w:sz w:val="16"/>
        </w:rPr>
        <w:t>Manual admin assignment is an operational override and must be auditable.</w:t>
      </w:r>
    </w:p>
    <w:p>
      <w:pPr>
        <w:pStyle w:val="Heading2"/>
      </w:pPr>
      <w:r>
        <w:rPr>
          <w:rFonts w:ascii="Cambria" w:hAnsi="Cambria"/>
          <w:b/>
          <w:color w:val="2B67B1"/>
          <w:sz w:val="26"/>
        </w:rPr>
        <w:t>2.2 Ticket lifecycle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State</w:t>
            </w:r>
          </w:p>
        </w:tc>
        <w:tc>
          <w:tcPr>
            <w:tcW w:type="dxa" w:w="532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Meaning</w:t>
            </w:r>
          </w:p>
        </w:tc>
        <w:tc>
          <w:tcPr>
            <w:tcW w:type="dxa" w:w="309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Required ownership</w:t>
            </w:r>
          </w:p>
        </w:tc>
      </w:tr>
      <w:tr>
        <w:tc>
          <w:tcPr>
            <w:tcW w:type="dxa" w:w="19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OPEN</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Ticket exists; may be unassigned or assigned and waiting to be started</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No resolver required for an unassigned queue ticket</w:t>
            </w:r>
          </w:p>
        </w:tc>
      </w:tr>
      <w:tr>
        <w:tc>
          <w:tcPr>
            <w:tcW w:type="dxa" w:w="19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IN_PROGRESS</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has actively started work</w:t>
            </w:r>
          </w:p>
        </w:tc>
        <w:tc>
          <w:tcPr>
            <w:tcW w:type="dxa" w:w="309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Assigned resolver required</w:t>
            </w:r>
          </w:p>
        </w:tc>
      </w:tr>
      <w:tr>
        <w:tc>
          <w:tcPr>
            <w:tcW w:type="dxa" w:w="19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PENDING_CUSTOMER</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is waiting for customer information/action</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Assigned resolver required</w:t>
            </w:r>
          </w:p>
        </w:tc>
      </w:tr>
      <w:tr>
        <w:tc>
          <w:tcPr>
            <w:tcW w:type="dxa" w:w="19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RESOLVED</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has completed the technical/service resolution</w:t>
            </w:r>
          </w:p>
        </w:tc>
        <w:tc>
          <w:tcPr>
            <w:tcW w:type="dxa" w:w="309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Assigned resolver and resolution evidence expected</w:t>
            </w:r>
          </w:p>
        </w:tc>
      </w:tr>
      <w:tr>
        <w:tc>
          <w:tcPr>
            <w:tcW w:type="dxa" w:w="19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CLOSED</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Ticket is administratively closed after resolution/confirmation</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Historical record</w:t>
            </w:r>
          </w:p>
        </w:tc>
      </w:tr>
    </w:tbl>
    <w:p>
      <w:pPr>
        <w:spacing w:after="20"/>
      </w:pPr>
    </w:p>
    <w:p>
      <w:r>
        <w:br w:type="page"/>
      </w:r>
    </w:p>
    <w:p>
      <w:pPr>
        <w:pStyle w:val="Heading1"/>
        <w:pBdr>
          <w:bottom w:val="single" w:sz="10" w:space="5" w:color="2B67B1"/>
        </w:pBdr>
      </w:pPr>
      <w:r>
        <w:rPr>
          <w:rFonts w:ascii="Cambria" w:hAnsi="Cambria"/>
          <w:b/>
          <w:color w:val="1F4474"/>
          <w:sz w:val="34"/>
        </w:rPr>
        <w:t>3. KB-ACC-001 - Account locked / unable to sign in</w:t>
      </w:r>
    </w:p>
    <w:p>
      <w:pPr>
        <w:spacing w:after="60" w:line="252" w:lineRule="auto"/>
      </w:pPr>
      <w:r>
        <w:rPr>
          <w:rFonts w:ascii="Cambria" w:hAnsi="Cambria"/>
          <w:b w:val="0"/>
          <w:color w:val="25364D"/>
          <w:sz w:val="18"/>
        </w:rPr>
        <w:t>Use when a customer cannot access the application because the account appears locked or login attempts are rejected.</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KB-ACC-001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Support, Technical Support, Resolver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Medium to 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reports locked account or repeated login rejection.</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KB-SEC-001, KB-TECH-001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Customer reports locked account or repeated login rejection.</w:t>
      </w:r>
    </w:p>
    <w:p>
      <w:pPr>
        <w:pStyle w:val="ListBullet"/>
        <w:spacing w:after="60"/>
      </w:pPr>
      <w:r>
        <w:rPr>
          <w:rFonts w:ascii="Cambria" w:hAnsi="Cambria"/>
          <w:b w:val="0"/>
          <w:color w:val="25364D"/>
          <w:sz w:val="16"/>
        </w:rPr>
        <w:t>Symptom: No evidence yet of malicious account takeover.</w:t>
      </w:r>
    </w:p>
    <w:p>
      <w:pPr>
        <w:pStyle w:val="ListBullet"/>
        <w:spacing w:after="60"/>
      </w:pPr>
      <w:r>
        <w:rPr>
          <w:rFonts w:ascii="Cambria" w:hAnsi="Cambria"/>
          <w:b w:val="0"/>
          <w:color w:val="25364D"/>
          <w:sz w:val="16"/>
        </w:rPr>
        <w:t>Likely cause: Account lockout policy triggered.</w:t>
      </w:r>
    </w:p>
    <w:p>
      <w:pPr>
        <w:pStyle w:val="ListBullet"/>
        <w:spacing w:after="60"/>
      </w:pPr>
      <w:r>
        <w:rPr>
          <w:rFonts w:ascii="Cambria" w:hAnsi="Cambria"/>
          <w:b w:val="0"/>
          <w:color w:val="25364D"/>
          <w:sz w:val="16"/>
        </w:rPr>
        <w:t>Likely cause: Incorrect credentials or stale browser/session state.</w:t>
      </w:r>
    </w:p>
    <w:p>
      <w:pPr>
        <w:pStyle w:val="ListBullet"/>
        <w:spacing w:after="60"/>
      </w:pPr>
      <w:r>
        <w:rPr>
          <w:rFonts w:ascii="Cambria" w:hAnsi="Cambria"/>
          <w:b w:val="0"/>
          <w:color w:val="25364D"/>
          <w:sz w:val="16"/>
        </w:rPr>
        <w:t>Likely cause: Identity synchronization or authentication service issue.</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Confirm customer identity using approved verification controls.</w:t>
      </w:r>
    </w:p>
    <w:p>
      <w:pPr>
        <w:pStyle w:val="ListBullet"/>
        <w:spacing w:after="60"/>
      </w:pPr>
      <w:r>
        <w:rPr>
          <w:rFonts w:ascii="Cambria" w:hAnsi="Cambria"/>
          <w:b w:val="0"/>
          <w:color w:val="25364D"/>
          <w:sz w:val="16"/>
        </w:rPr>
        <w:t>Do not request or store passwords, MFA secrets or recovery codes.</w:t>
      </w:r>
    </w:p>
    <w:p>
      <w:pPr>
        <w:pStyle w:val="ListBullet"/>
        <w:spacing w:after="60"/>
      </w:pPr>
      <w:r>
        <w:rPr>
          <w:rFonts w:ascii="Cambria" w:hAnsi="Cambria"/>
          <w:b w:val="0"/>
          <w:color w:val="25364D"/>
          <w:sz w:val="16"/>
        </w:rPr>
        <w:t>Review ticket history for recent password or security changes.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Confirm exact error text and approximate start time.</w:t>
      </w:r>
    </w:p>
    <w:p>
      <w:pPr>
        <w:pStyle w:val="ListNumber"/>
        <w:spacing w:after="60"/>
      </w:pPr>
      <w:r>
        <w:rPr>
          <w:rFonts w:ascii="Cambria" w:hAnsi="Cambria"/>
          <w:b w:val="0"/>
          <w:color w:val="25364D"/>
          <w:sz w:val="16"/>
        </w:rPr>
        <w:t>2. Check whether other users in the same tenant are affected.</w:t>
      </w:r>
    </w:p>
    <w:p>
      <w:pPr>
        <w:pStyle w:val="ListNumber"/>
        <w:spacing w:after="60"/>
      </w:pPr>
      <w:r>
        <w:rPr>
          <w:rFonts w:ascii="Cambria" w:hAnsi="Cambria"/>
          <w:b w:val="0"/>
          <w:color w:val="25364D"/>
          <w:sz w:val="16"/>
        </w:rPr>
        <w:t>3. Verify whether the identity provider/authentication dependency is operational.</w:t>
      </w:r>
    </w:p>
    <w:p>
      <w:pPr>
        <w:pStyle w:val="ListNumber"/>
        <w:spacing w:after="60"/>
      </w:pPr>
      <w:r>
        <w:rPr>
          <w:rFonts w:ascii="Cambria" w:hAnsi="Cambria"/>
          <w:b w:val="0"/>
          <w:color w:val="25364D"/>
          <w:sz w:val="16"/>
        </w:rPr>
        <w:t>4. If the issue is a local lockout, use the authorized account-unlock workflow.</w:t>
      </w:r>
    </w:p>
    <w:p>
      <w:pPr>
        <w:pStyle w:val="ListNumber"/>
        <w:spacing w:after="60"/>
      </w:pPr>
      <w:r>
        <w:rPr>
          <w:rFonts w:ascii="Cambria" w:hAnsi="Cambria"/>
          <w:b w:val="0"/>
          <w:color w:val="25364D"/>
          <w:sz w:val="16"/>
        </w:rPr>
        <w:t>5. Ask the customer to retry through a clean session or approved client path.</w:t>
      </w:r>
    </w:p>
    <w:p>
      <w:pPr>
        <w:pStyle w:val="ListNumber"/>
        <w:spacing w:after="60"/>
      </w:pPr>
      <w:r>
        <w:rPr>
          <w:rFonts w:ascii="Cambria" w:hAnsi="Cambria"/>
          <w:b w:val="0"/>
          <w:color w:val="25364D"/>
          <w:sz w:val="16"/>
        </w:rPr>
        <w:t>6. If the error persists across users or tenants, move to technical incident analysis.</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Customer can authenticate successfully.</w:t>
      </w:r>
    </w:p>
    <w:p>
      <w:pPr>
        <w:pStyle w:val="ListBullet"/>
        <w:spacing w:after="60"/>
      </w:pPr>
      <w:r>
        <w:rPr>
          <w:rFonts w:ascii="Cambria" w:hAnsi="Cambria"/>
          <w:b w:val="0"/>
          <w:color w:val="25364D"/>
          <w:sz w:val="16"/>
        </w:rPr>
        <w:t>No active lockout remains.</w:t>
      </w:r>
    </w:p>
    <w:p>
      <w:pPr>
        <w:pStyle w:val="ListBullet"/>
        <w:spacing w:after="60"/>
      </w:pPr>
      <w:r>
        <w:rPr>
          <w:rFonts w:ascii="Cambria" w:hAnsi="Cambria"/>
          <w:b w:val="0"/>
          <w:color w:val="25364D"/>
          <w:sz w:val="16"/>
        </w:rPr>
        <w:t>Ticket contains verification evidence and final action taken.</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to Cyber Security when takeover indicators appear.</w:t>
      </w:r>
    </w:p>
    <w:p>
      <w:pPr>
        <w:pStyle w:val="ListBullet"/>
        <w:spacing w:after="60"/>
      </w:pPr>
      <w:r>
        <w:rPr>
          <w:rFonts w:ascii="Cambria" w:hAnsi="Cambria"/>
          <w:b w:val="0"/>
          <w:color w:val="25364D"/>
          <w:sz w:val="16"/>
        </w:rPr>
        <w:t>Escalate to Site Reliability when multiple users/tenants are simultaneously affected.</w:t>
      </w:r>
    </w:p>
    <w:p>
      <w:pPr>
        <w:pStyle w:val="ListBullet"/>
        <w:spacing w:after="60"/>
      </w:pPr>
      <w:r>
        <w:rPr>
          <w:rFonts w:ascii="Cambria" w:hAnsi="Cambria"/>
          <w:b w:val="0"/>
          <w:color w:val="25364D"/>
          <w:sz w:val="16"/>
        </w:rPr>
        <w:t>Escalate to platform owner when identity synchronization remains inconsistent after approved remediation.</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Never bypass identity verification merely to meet SLA.</w:t>
            </w:r>
          </w:p>
        </w:tc>
      </w:tr>
    </w:tbl>
    <w:p>
      <w:pPr>
        <w:spacing w:after="20"/>
      </w:pPr>
    </w:p>
    <w:p>
      <w:pPr>
        <w:pStyle w:val="Heading1"/>
        <w:pageBreakBefore/>
        <w:pBdr>
          <w:bottom w:val="single" w:sz="10" w:space="5" w:color="2B67B1"/>
        </w:pBdr>
      </w:pPr>
      <w:r>
        <w:rPr>
          <w:rFonts w:ascii="Cambria" w:hAnsi="Cambria"/>
          <w:b/>
          <w:color w:val="1F4474"/>
          <w:sz w:val="34"/>
        </w:rPr>
        <w:t>4. KB-ACC-002 - Password reset email not received</w:t>
      </w:r>
    </w:p>
    <w:p>
      <w:pPr>
        <w:spacing w:after="60" w:line="252" w:lineRule="auto"/>
      </w:pPr>
      <w:r>
        <w:rPr>
          <w:rFonts w:ascii="Cambria" w:hAnsi="Cambria"/>
          <w:b w:val="0"/>
          <w:color w:val="25364D"/>
          <w:sz w:val="18"/>
        </w:rPr>
        <w:t>Use when password reset was requested but the verification/reset email does not arrive.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KB-ACC-002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Support, Technical Support, Resolver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Medium</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can access email but no reset message is received.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KB-ACC-001, KB-OPS-002</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Customer can access email but no reset message is received.</w:t>
      </w:r>
    </w:p>
    <w:p>
      <w:pPr>
        <w:pStyle w:val="ListBullet"/>
        <w:spacing w:after="60"/>
      </w:pPr>
      <w:r>
        <w:rPr>
          <w:rFonts w:ascii="Cambria" w:hAnsi="Cambria"/>
          <w:b w:val="0"/>
          <w:color w:val="25364D"/>
          <w:sz w:val="16"/>
        </w:rPr>
        <w:t>Symptom: Reset request may succeed in the application but email is absent.</w:t>
      </w:r>
    </w:p>
    <w:p>
      <w:pPr>
        <w:pStyle w:val="ListBullet"/>
        <w:spacing w:after="60"/>
      </w:pPr>
      <w:r>
        <w:rPr>
          <w:rFonts w:ascii="Cambria" w:hAnsi="Cambria"/>
          <w:b w:val="0"/>
          <w:color w:val="25364D"/>
          <w:sz w:val="16"/>
        </w:rPr>
        <w:t>Likely cause: Mailbox filtering or spam quarantine.</w:t>
      </w:r>
    </w:p>
    <w:p>
      <w:pPr>
        <w:pStyle w:val="ListBullet"/>
        <w:spacing w:after="60"/>
      </w:pPr>
      <w:r>
        <w:rPr>
          <w:rFonts w:ascii="Cambria" w:hAnsi="Cambria"/>
          <w:b w:val="0"/>
          <w:color w:val="25364D"/>
          <w:sz w:val="16"/>
        </w:rPr>
        <w:t>Likely cause: Email delivery delay.</w:t>
      </w:r>
    </w:p>
    <w:p>
      <w:pPr>
        <w:pStyle w:val="ListBullet"/>
        <w:spacing w:after="60"/>
      </w:pPr>
      <w:r>
        <w:rPr>
          <w:rFonts w:ascii="Cambria" w:hAnsi="Cambria"/>
          <w:b w:val="0"/>
          <w:color w:val="25364D"/>
          <w:sz w:val="16"/>
        </w:rPr>
        <w:t>Likely cause: Incorrect customer email or stale identity record.</w:t>
      </w:r>
    </w:p>
    <w:p>
      <w:pPr>
        <w:pStyle w:val="ListBullet"/>
        <w:spacing w:after="60"/>
      </w:pPr>
      <w:r>
        <w:rPr>
          <w:rFonts w:ascii="Cambria" w:hAnsi="Cambria"/>
          <w:b w:val="0"/>
          <w:color w:val="25364D"/>
          <w:sz w:val="16"/>
        </w:rPr>
        <w:t>Likely cause: Notification provider outage.</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Confirm the destination email without exposing private account data.</w:t>
      </w:r>
    </w:p>
    <w:p>
      <w:pPr>
        <w:pStyle w:val="ListBullet"/>
        <w:spacing w:after="60"/>
      </w:pPr>
      <w:r>
        <w:rPr>
          <w:rFonts w:ascii="Cambria" w:hAnsi="Cambria"/>
          <w:b w:val="0"/>
          <w:color w:val="25364D"/>
          <w:sz w:val="16"/>
        </w:rPr>
        <w:t>Check whether the customer has received any other system notifications.</w:t>
      </w:r>
    </w:p>
    <w:p>
      <w:pPr>
        <w:pStyle w:val="ListBullet"/>
        <w:spacing w:after="60"/>
      </w:pPr>
      <w:r>
        <w:rPr>
          <w:rFonts w:ascii="Cambria" w:hAnsi="Cambria"/>
          <w:b w:val="0"/>
          <w:color w:val="25364D"/>
          <w:sz w:val="16"/>
        </w:rPr>
        <w:t>Do not disclose whether an account exists to an unverified party.</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Confirm request timestamp and channel.</w:t>
      </w:r>
    </w:p>
    <w:p>
      <w:pPr>
        <w:pStyle w:val="ListNumber"/>
        <w:spacing w:after="60"/>
      </w:pPr>
      <w:r>
        <w:rPr>
          <w:rFonts w:ascii="Cambria" w:hAnsi="Cambria"/>
          <w:b w:val="0"/>
          <w:color w:val="25364D"/>
          <w:sz w:val="16"/>
        </w:rPr>
        <w:t>2. Ask customer to check spam/quarantine and corporate mail filters.</w:t>
      </w:r>
    </w:p>
    <w:p>
      <w:pPr>
        <w:pStyle w:val="ListNumber"/>
        <w:spacing w:after="60"/>
      </w:pPr>
      <w:r>
        <w:rPr>
          <w:rFonts w:ascii="Cambria" w:hAnsi="Cambria"/>
          <w:b w:val="0"/>
          <w:color w:val="25364D"/>
          <w:sz w:val="16"/>
        </w:rPr>
        <w:t>3. Verify the application generated the reset request successfully.</w:t>
      </w:r>
    </w:p>
    <w:p>
      <w:pPr>
        <w:pStyle w:val="ListNumber"/>
        <w:spacing w:after="60"/>
      </w:pPr>
      <w:r>
        <w:rPr>
          <w:rFonts w:ascii="Cambria" w:hAnsi="Cambria"/>
          <w:b w:val="0"/>
          <w:color w:val="25364D"/>
          <w:sz w:val="16"/>
        </w:rPr>
        <w:t>4. Retry only through the approved reset mechanism.</w:t>
      </w:r>
    </w:p>
    <w:p>
      <w:pPr>
        <w:pStyle w:val="ListNumber"/>
        <w:spacing w:after="60"/>
      </w:pPr>
      <w:r>
        <w:rPr>
          <w:rFonts w:ascii="Cambria" w:hAnsi="Cambria"/>
          <w:b w:val="0"/>
          <w:color w:val="25364D"/>
          <w:sz w:val="16"/>
        </w:rPr>
        <w:t>5. If repeated attempts fail, inspect notification delivery telemetry or notification status.</w:t>
      </w:r>
    </w:p>
    <w:p>
      <w:pPr>
        <w:pStyle w:val="ListNumber"/>
        <w:spacing w:after="60"/>
      </w:pPr>
      <w:r>
        <w:rPr>
          <w:rFonts w:ascii="Cambria" w:hAnsi="Cambria"/>
          <w:b w:val="0"/>
          <w:color w:val="25364D"/>
          <w:sz w:val="16"/>
        </w:rPr>
        <w:t>6. Escalate repeated delivery failures as a platform/notification incident.</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Customer receives a valid reset message.</w:t>
      </w:r>
    </w:p>
    <w:p>
      <w:pPr>
        <w:pStyle w:val="ListBullet"/>
        <w:spacing w:after="60"/>
      </w:pPr>
      <w:r>
        <w:rPr>
          <w:rFonts w:ascii="Cambria" w:hAnsi="Cambria"/>
          <w:b w:val="0"/>
          <w:color w:val="25364D"/>
          <w:sz w:val="16"/>
        </w:rPr>
        <w:t>Customer can complete password reset.</w:t>
      </w:r>
    </w:p>
    <w:p>
      <w:pPr>
        <w:pStyle w:val="ListBullet"/>
        <w:spacing w:after="60"/>
      </w:pPr>
      <w:r>
        <w:rPr>
          <w:rFonts w:ascii="Cambria" w:hAnsi="Cambria"/>
          <w:b w:val="0"/>
          <w:color w:val="25364D"/>
          <w:sz w:val="16"/>
        </w:rPr>
        <w:t>No duplicate or unsafe reset tokens remain active.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to notification/platform operations for repeated delivery failure.</w:t>
      </w:r>
    </w:p>
    <w:p>
      <w:pPr>
        <w:pStyle w:val="ListBullet"/>
        <w:spacing w:after="60"/>
      </w:pPr>
      <w:r>
        <w:rPr>
          <w:rFonts w:ascii="Cambria" w:hAnsi="Cambria"/>
          <w:b w:val="0"/>
          <w:color w:val="25364D"/>
          <w:sz w:val="16"/>
        </w:rPr>
        <w:t>Escalate to security if the reset request appears unauthorized.</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Avoid telling the customer that an account does or does not exist based solely on email delivery behavior.</w:t>
            </w:r>
          </w:p>
        </w:tc>
      </w:tr>
    </w:tbl>
    <w:p>
      <w:pPr>
        <w:spacing w:after="20"/>
      </w:pPr>
    </w:p>
    <w:p>
      <w:pPr>
        <w:pStyle w:val="Heading1"/>
        <w:pageBreakBefore/>
        <w:pBdr>
          <w:bottom w:val="single" w:sz="10" w:space="5" w:color="2B67B1"/>
        </w:pBdr>
      </w:pPr>
      <w:r>
        <w:rPr>
          <w:rFonts w:ascii="Cambria" w:hAnsi="Cambria"/>
          <w:b/>
          <w:color w:val="1F4474"/>
          <w:sz w:val="34"/>
        </w:rPr>
        <w:t>5. KB-SEC-001 - Suspicious login alert / suspected credential compromise</w:t>
      </w:r>
    </w:p>
    <w:p>
      <w:pPr>
        <w:spacing w:after="60" w:line="252" w:lineRule="auto"/>
      </w:pPr>
      <w:r>
        <w:rPr>
          <w:rFonts w:ascii="Cambria" w:hAnsi="Cambria"/>
          <w:b w:val="0"/>
          <w:color w:val="25364D"/>
          <w:sz w:val="18"/>
        </w:rPr>
        <w:t>Use when a customer reports foreign login alerts, suspicious sessions or possible credential compromise.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Cyber Security, Fraud Investigation, Resolver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Unexpected login from an unfamiliar location.</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KB-SEC-002, KB-FIN-001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Unexpected login from an unfamiliar location.</w:t>
      </w:r>
    </w:p>
    <w:p>
      <w:pPr>
        <w:pStyle w:val="ListBullet"/>
        <w:spacing w:after="60"/>
      </w:pPr>
      <w:r>
        <w:rPr>
          <w:rFonts w:ascii="Cambria" w:hAnsi="Cambria"/>
          <w:b w:val="0"/>
          <w:color w:val="25364D"/>
          <w:sz w:val="16"/>
        </w:rPr>
        <w:t>Symptom: Customer believes credentials were compromised.</w:t>
      </w:r>
    </w:p>
    <w:p>
      <w:pPr>
        <w:pStyle w:val="ListBullet"/>
        <w:spacing w:after="60"/>
      </w:pPr>
      <w:r>
        <w:rPr>
          <w:rFonts w:ascii="Cambria" w:hAnsi="Cambria"/>
          <w:b w:val="0"/>
          <w:color w:val="25364D"/>
          <w:sz w:val="16"/>
        </w:rPr>
        <w:t>Likely cause: Credential theft.</w:t>
      </w:r>
    </w:p>
    <w:p>
      <w:pPr>
        <w:pStyle w:val="ListBullet"/>
        <w:spacing w:after="60"/>
      </w:pPr>
      <w:r>
        <w:rPr>
          <w:rFonts w:ascii="Cambria" w:hAnsi="Cambria"/>
          <w:b w:val="0"/>
          <w:color w:val="25364D"/>
          <w:sz w:val="16"/>
        </w:rPr>
        <w:t>Likely cause: Session/token compromise.</w:t>
      </w:r>
    </w:p>
    <w:p>
      <w:pPr>
        <w:pStyle w:val="ListBullet"/>
        <w:spacing w:after="60"/>
      </w:pPr>
      <w:r>
        <w:rPr>
          <w:rFonts w:ascii="Cambria" w:hAnsi="Cambria"/>
          <w:b w:val="0"/>
          <w:color w:val="25364D"/>
          <w:sz w:val="16"/>
        </w:rPr>
        <w:t>Likely cause: Compromised endpoint or browser.</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Treat as a potential security incident.</w:t>
      </w:r>
    </w:p>
    <w:p>
      <w:pPr>
        <w:pStyle w:val="ListBullet"/>
        <w:spacing w:after="60"/>
      </w:pPr>
      <w:r>
        <w:rPr>
          <w:rFonts w:ascii="Cambria" w:hAnsi="Cambria"/>
          <w:b w:val="0"/>
          <w:color w:val="25364D"/>
          <w:sz w:val="16"/>
        </w:rPr>
        <w:t>Use the approved identity verification process.</w:t>
      </w:r>
    </w:p>
    <w:p>
      <w:pPr>
        <w:pStyle w:val="ListBullet"/>
        <w:spacing w:after="60"/>
      </w:pPr>
      <w:r>
        <w:rPr>
          <w:rFonts w:ascii="Cambria" w:hAnsi="Cambria"/>
          <w:b w:val="0"/>
          <w:color w:val="25364D"/>
          <w:sz w:val="16"/>
        </w:rPr>
        <w:t>Do not ask for passwords, MFA codes or private recovery secrets.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Capture the alert time, location and observed session information available to the customer.</w:t>
      </w:r>
    </w:p>
    <w:p>
      <w:pPr>
        <w:pStyle w:val="ListNumber"/>
        <w:spacing w:after="60"/>
      </w:pPr>
      <w:r>
        <w:rPr>
          <w:rFonts w:ascii="Cambria" w:hAnsi="Cambria"/>
          <w:b w:val="0"/>
          <w:color w:val="25364D"/>
          <w:sz w:val="16"/>
        </w:rPr>
        <w:t>2. Determine whether the customer still controls the registered communication channel.</w:t>
      </w:r>
    </w:p>
    <w:p>
      <w:pPr>
        <w:pStyle w:val="ListNumber"/>
        <w:spacing w:after="60"/>
      </w:pPr>
      <w:r>
        <w:rPr>
          <w:rFonts w:ascii="Cambria" w:hAnsi="Cambria"/>
          <w:b w:val="0"/>
          <w:color w:val="25364D"/>
          <w:sz w:val="16"/>
        </w:rPr>
        <w:t>3. Restrict or invalidate sessions using the approved security workflow when authorized.</w:t>
      </w:r>
    </w:p>
    <w:p>
      <w:pPr>
        <w:pStyle w:val="ListNumber"/>
        <w:spacing w:after="60"/>
      </w:pPr>
      <w:r>
        <w:rPr>
          <w:rFonts w:ascii="Cambria" w:hAnsi="Cambria"/>
          <w:b w:val="0"/>
          <w:color w:val="25364D"/>
          <w:sz w:val="16"/>
        </w:rPr>
        <w:t>4. Force credential reset through the approved mechanism.</w:t>
      </w:r>
    </w:p>
    <w:p>
      <w:pPr>
        <w:pStyle w:val="ListNumber"/>
        <w:spacing w:after="60"/>
      </w:pPr>
      <w:r>
        <w:rPr>
          <w:rFonts w:ascii="Cambria" w:hAnsi="Cambria"/>
          <w:b w:val="0"/>
          <w:color w:val="25364D"/>
          <w:sz w:val="16"/>
        </w:rPr>
        <w:t>5. Review recent account activity for unauthorized changes or transactions.</w:t>
      </w:r>
    </w:p>
    <w:p>
      <w:pPr>
        <w:pStyle w:val="ListNumber"/>
        <w:spacing w:after="60"/>
      </w:pPr>
      <w:r>
        <w:rPr>
          <w:rFonts w:ascii="Cambria" w:hAnsi="Cambria"/>
          <w:b w:val="0"/>
          <w:color w:val="25364D"/>
          <w:sz w:val="16"/>
        </w:rPr>
        <w:t>6. Route financial-loss indicators to Fraud Investigation; escalate material or multi-account events to security incident handling.</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Unauthorized sessions are contained.</w:t>
      </w:r>
    </w:p>
    <w:p>
      <w:pPr>
        <w:pStyle w:val="ListBullet"/>
        <w:spacing w:after="60"/>
      </w:pPr>
      <w:r>
        <w:rPr>
          <w:rFonts w:ascii="Cambria" w:hAnsi="Cambria"/>
          <w:b w:val="0"/>
          <w:color w:val="25364D"/>
          <w:sz w:val="16"/>
        </w:rPr>
        <w:t>Credential reset is completed through approved controls.</w:t>
      </w:r>
    </w:p>
    <w:p>
      <w:pPr>
        <w:pStyle w:val="ListBullet"/>
        <w:spacing w:after="60"/>
      </w:pPr>
      <w:r>
        <w:rPr>
          <w:rFonts w:ascii="Cambria" w:hAnsi="Cambria"/>
          <w:b w:val="0"/>
          <w:color w:val="25364D"/>
          <w:sz w:val="16"/>
        </w:rPr>
        <w:t>Any financial or data-impact findings are captured and routed.</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Immediate escalation for active compromise, privileged access, data exposure or financial loss.</w:t>
      </w:r>
    </w:p>
    <w:p>
      <w:pPr>
        <w:pStyle w:val="ListBullet"/>
        <w:spacing w:after="60"/>
      </w:pPr>
      <w:r>
        <w:rPr>
          <w:rFonts w:ascii="Cambria" w:hAnsi="Cambria"/>
          <w:b w:val="0"/>
          <w:color w:val="25364D"/>
          <w:sz w:val="16"/>
        </w:rPr>
        <w:t>Escalate to Fraud Investigation for unauthorized payments.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Speed matters, but evidence handling and identity verification remain mandatory.</w:t>
            </w:r>
          </w:p>
        </w:tc>
      </w:tr>
    </w:tbl>
    <w:p>
      <w:pPr>
        <w:spacing w:after="20"/>
      </w:pPr>
    </w:p>
    <w:p>
      <w:pPr>
        <w:pStyle w:val="Heading1"/>
        <w:pageBreakBefore/>
        <w:pBdr>
          <w:bottom w:val="single" w:sz="10" w:space="5" w:color="2B67B1"/>
        </w:pBdr>
      </w:pPr>
      <w:r>
        <w:rPr>
          <w:rFonts w:ascii="Cambria" w:hAnsi="Cambria"/>
          <w:b/>
          <w:color w:val="1F4474"/>
          <w:sz w:val="34"/>
        </w:rPr>
        <w:t>6. KB-SEC-002 - Customer sees another customer's personal information</w:t>
      </w:r>
    </w:p>
    <w:p>
      <w:pPr>
        <w:spacing w:after="60" w:line="252" w:lineRule="auto"/>
      </w:pPr>
      <w:r>
        <w:rPr>
          <w:rFonts w:ascii="Cambria" w:hAnsi="Cambria"/>
          <w:b w:val="0"/>
          <w:color w:val="25364D"/>
          <w:sz w:val="18"/>
        </w:rPr>
        <w:t>Use when a customer reports cross-customer visibility or data exposure.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Cyber Security, Privacy, Operations Manager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can view another user/customer record.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KB-SEC-001, KB-OPS-004</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Customer can view another user/customer record.</w:t>
      </w:r>
    </w:p>
    <w:p>
      <w:pPr>
        <w:pStyle w:val="ListBullet"/>
        <w:spacing w:after="60"/>
      </w:pPr>
      <w:r>
        <w:rPr>
          <w:rFonts w:ascii="Cambria" w:hAnsi="Cambria"/>
          <w:b w:val="0"/>
          <w:color w:val="25364D"/>
          <w:sz w:val="16"/>
        </w:rPr>
        <w:t>Symptom: Screenshot or evidence indicates unauthorized data access.</w:t>
      </w:r>
    </w:p>
    <w:p>
      <w:pPr>
        <w:pStyle w:val="ListBullet"/>
        <w:spacing w:after="60"/>
      </w:pPr>
      <w:r>
        <w:rPr>
          <w:rFonts w:ascii="Cambria" w:hAnsi="Cambria"/>
          <w:b w:val="0"/>
          <w:color w:val="25364D"/>
          <w:sz w:val="16"/>
        </w:rPr>
        <w:t>Likely cause: Authorization policy defect.</w:t>
      </w:r>
    </w:p>
    <w:p>
      <w:pPr>
        <w:pStyle w:val="ListBullet"/>
        <w:spacing w:after="60"/>
      </w:pPr>
      <w:r>
        <w:rPr>
          <w:rFonts w:ascii="Cambria" w:hAnsi="Cambria"/>
          <w:b w:val="0"/>
          <w:color w:val="25364D"/>
          <w:sz w:val="16"/>
        </w:rPr>
        <w:t>Likely cause: Tenant/row-level data isolation failure.</w:t>
      </w:r>
    </w:p>
    <w:p>
      <w:pPr>
        <w:pStyle w:val="ListBullet"/>
        <w:spacing w:after="60"/>
      </w:pPr>
      <w:r>
        <w:rPr>
          <w:rFonts w:ascii="Cambria" w:hAnsi="Cambria"/>
          <w:b w:val="0"/>
          <w:color w:val="25364D"/>
          <w:sz w:val="16"/>
        </w:rPr>
        <w:t>Likely cause: Cache or session contamination.</w:t>
      </w:r>
    </w:p>
    <w:p>
      <w:pPr>
        <w:pStyle w:val="ListBullet"/>
        <w:spacing w:after="60"/>
      </w:pPr>
      <w:r>
        <w:rPr>
          <w:rFonts w:ascii="Cambria" w:hAnsi="Cambria"/>
          <w:b w:val="0"/>
          <w:color w:val="25364D"/>
          <w:sz w:val="16"/>
        </w:rPr>
        <w:t>Likely cause: Configuration or deployment regression.</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Treat as a potential privacy/security incident.</w:t>
      </w:r>
    </w:p>
    <w:p>
      <w:pPr>
        <w:pStyle w:val="ListBullet"/>
        <w:spacing w:after="60"/>
      </w:pPr>
      <w:r>
        <w:rPr>
          <w:rFonts w:ascii="Cambria" w:hAnsi="Cambria"/>
          <w:b w:val="0"/>
          <w:color w:val="25364D"/>
          <w:sz w:val="16"/>
        </w:rPr>
        <w:t>Preserve evidence and avoid broad testing with real customer data.</w:t>
      </w:r>
    </w:p>
    <w:p>
      <w:pPr>
        <w:pStyle w:val="ListBullet"/>
        <w:spacing w:after="60"/>
      </w:pPr>
      <w:r>
        <w:rPr>
          <w:rFonts w:ascii="Cambria" w:hAnsi="Cambria"/>
          <w:b w:val="0"/>
          <w:color w:val="25364D"/>
          <w:sz w:val="16"/>
        </w:rPr>
        <w:t>Do not reproduce by accessing unrelated customer records unless specifically authorized.</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Capture the minimum necessary evidence from the reporter.</w:t>
      </w:r>
    </w:p>
    <w:p>
      <w:pPr>
        <w:pStyle w:val="ListNumber"/>
        <w:spacing w:after="60"/>
      </w:pPr>
      <w:r>
        <w:rPr>
          <w:rFonts w:ascii="Cambria" w:hAnsi="Cambria"/>
          <w:b w:val="0"/>
          <w:color w:val="25364D"/>
          <w:sz w:val="16"/>
        </w:rPr>
        <w:t>2. Identify tenant, user context and approximate time.</w:t>
      </w:r>
    </w:p>
    <w:p>
      <w:pPr>
        <w:pStyle w:val="ListNumber"/>
        <w:spacing w:after="60"/>
      </w:pPr>
      <w:r>
        <w:rPr>
          <w:rFonts w:ascii="Cambria" w:hAnsi="Cambria"/>
          <w:b w:val="0"/>
          <w:color w:val="25364D"/>
          <w:sz w:val="16"/>
        </w:rPr>
        <w:t>3. Stop further exposure when an approved containment action exists.</w:t>
      </w:r>
    </w:p>
    <w:p>
      <w:pPr>
        <w:pStyle w:val="ListNumber"/>
        <w:spacing w:after="60"/>
      </w:pPr>
      <w:r>
        <w:rPr>
          <w:rFonts w:ascii="Cambria" w:hAnsi="Cambria"/>
          <w:b w:val="0"/>
          <w:color w:val="25364D"/>
          <w:sz w:val="16"/>
        </w:rPr>
        <w:t>4. Escalate immediately to Cyber Security/Privacy incident handling.</w:t>
      </w:r>
    </w:p>
    <w:p>
      <w:pPr>
        <w:pStyle w:val="ListNumber"/>
        <w:spacing w:after="60"/>
      </w:pPr>
      <w:r>
        <w:rPr>
          <w:rFonts w:ascii="Cambria" w:hAnsi="Cambria"/>
          <w:b w:val="0"/>
          <w:color w:val="25364D"/>
          <w:sz w:val="16"/>
        </w:rPr>
        <w:t>5. Record affected data classes without copying unnecessary sensitive values.</w:t>
      </w:r>
    </w:p>
    <w:p>
      <w:pPr>
        <w:pStyle w:val="ListNumber"/>
        <w:spacing w:after="60"/>
      </w:pPr>
      <w:r>
        <w:rPr>
          <w:rFonts w:ascii="Cambria" w:hAnsi="Cambria"/>
          <w:b w:val="0"/>
          <w:color w:val="25364D"/>
          <w:sz w:val="16"/>
        </w:rPr>
        <w:t>6. Coordinate remediation and customer communication through incident ownership.</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Exposure is contained.</w:t>
      </w:r>
    </w:p>
    <w:p>
      <w:pPr>
        <w:pStyle w:val="ListBullet"/>
        <w:spacing w:after="60"/>
      </w:pPr>
      <w:r>
        <w:rPr>
          <w:rFonts w:ascii="Cambria" w:hAnsi="Cambria"/>
          <w:b w:val="0"/>
          <w:color w:val="25364D"/>
          <w:sz w:val="16"/>
        </w:rPr>
        <w:t>Incident owner confirms remediation.</w:t>
      </w:r>
    </w:p>
    <w:p>
      <w:pPr>
        <w:pStyle w:val="ListBullet"/>
        <w:spacing w:after="60"/>
      </w:pPr>
      <w:r>
        <w:rPr>
          <w:rFonts w:ascii="Cambria" w:hAnsi="Cambria"/>
          <w:b w:val="0"/>
          <w:color w:val="25364D"/>
          <w:sz w:val="16"/>
        </w:rPr>
        <w:t>Required notifications and audit records are complete.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Immediate security/privacy escalation.</w:t>
      </w:r>
    </w:p>
    <w:p>
      <w:pPr>
        <w:pStyle w:val="ListBullet"/>
        <w:spacing w:after="60"/>
      </w:pPr>
      <w:r>
        <w:rPr>
          <w:rFonts w:ascii="Cambria" w:hAnsi="Cambria"/>
          <w:b w:val="0"/>
          <w:color w:val="25364D"/>
          <w:sz w:val="16"/>
        </w:rPr>
        <w:t>Operations manager approval required for customer-impacting containment changes.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This article is not a routine resolver troubleshooting procedure; follow incident-management controls when exposure is confirmed.</w:t>
            </w:r>
          </w:p>
        </w:tc>
      </w:tr>
    </w:tbl>
    <w:p>
      <w:pPr>
        <w:spacing w:after="20"/>
      </w:pPr>
    </w:p>
    <w:p>
      <w:pPr>
        <w:pStyle w:val="Heading1"/>
        <w:pageBreakBefore/>
        <w:pBdr>
          <w:bottom w:val="single" w:sz="10" w:space="5" w:color="2B67B1"/>
        </w:pBdr>
      </w:pPr>
      <w:r>
        <w:rPr>
          <w:rFonts w:ascii="Cambria" w:hAnsi="Cambria"/>
          <w:b/>
          <w:color w:val="1F4474"/>
          <w:sz w:val="34"/>
        </w:rPr>
        <w:t>7. KB-FIN-001 - Duplicate charge / duplicate payment</w:t>
      </w:r>
    </w:p>
    <w:p>
      <w:pPr>
        <w:spacing w:after="60" w:line="252" w:lineRule="auto"/>
      </w:pPr>
      <w:r>
        <w:rPr>
          <w:rFonts w:ascii="Cambria" w:hAnsi="Cambria"/>
          <w:b w:val="0"/>
          <w:color w:val="25364D"/>
          <w:sz w:val="18"/>
        </w:rPr>
        <w:t>Use when a customer reports being charged twice for the same purchase or subscription.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Finance Operations, Resolver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Two or more transactions appear to represent the same intended purchase.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KB-FIN-002, KB-SEC-001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Two or more transactions appear to represent the same intended purchase.</w:t>
      </w:r>
    </w:p>
    <w:p>
      <w:pPr>
        <w:pStyle w:val="ListBullet"/>
        <w:spacing w:after="60"/>
      </w:pPr>
      <w:r>
        <w:rPr>
          <w:rFonts w:ascii="Cambria" w:hAnsi="Cambria"/>
          <w:b w:val="0"/>
          <w:color w:val="25364D"/>
          <w:sz w:val="16"/>
        </w:rPr>
        <w:t>Symptom: Customer requests reversal or refund.</w:t>
      </w:r>
    </w:p>
    <w:p>
      <w:pPr>
        <w:pStyle w:val="ListBullet"/>
        <w:spacing w:after="60"/>
      </w:pPr>
      <w:r>
        <w:rPr>
          <w:rFonts w:ascii="Cambria" w:hAnsi="Cambria"/>
          <w:b w:val="0"/>
          <w:color w:val="25364D"/>
          <w:sz w:val="16"/>
        </w:rPr>
        <w:t>Likely cause: Duplicate submission.</w:t>
      </w:r>
    </w:p>
    <w:p>
      <w:pPr>
        <w:pStyle w:val="ListBullet"/>
        <w:spacing w:after="60"/>
      </w:pPr>
      <w:r>
        <w:rPr>
          <w:rFonts w:ascii="Cambria" w:hAnsi="Cambria"/>
          <w:b w:val="0"/>
          <w:color w:val="25364D"/>
          <w:sz w:val="16"/>
        </w:rPr>
        <w:t>Likely cause: Payment retry after timeout.</w:t>
      </w:r>
    </w:p>
    <w:p>
      <w:pPr>
        <w:pStyle w:val="ListBullet"/>
        <w:spacing w:after="60"/>
      </w:pPr>
      <w:r>
        <w:rPr>
          <w:rFonts w:ascii="Cambria" w:hAnsi="Cambria"/>
          <w:b w:val="0"/>
          <w:color w:val="25364D"/>
          <w:sz w:val="16"/>
        </w:rPr>
        <w:t>Likely cause: Gateway duplication.</w:t>
      </w:r>
    </w:p>
    <w:p>
      <w:pPr>
        <w:pStyle w:val="ListBullet"/>
        <w:spacing w:after="60"/>
      </w:pPr>
      <w:r>
        <w:rPr>
          <w:rFonts w:ascii="Cambria" w:hAnsi="Cambria"/>
          <w:b w:val="0"/>
          <w:color w:val="25364D"/>
          <w:sz w:val="16"/>
        </w:rPr>
        <w:t>Likely cause: Delayed authorization/capture creating apparent duplicates.</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Use transaction identifiers, not card secrets.</w:t>
      </w:r>
    </w:p>
    <w:p>
      <w:pPr>
        <w:pStyle w:val="ListBullet"/>
        <w:spacing w:after="60"/>
      </w:pPr>
      <w:r>
        <w:rPr>
          <w:rFonts w:ascii="Cambria" w:hAnsi="Cambria"/>
          <w:b w:val="0"/>
          <w:color w:val="25364D"/>
          <w:sz w:val="16"/>
        </w:rPr>
        <w:t>Do not promise a refund before transaction status is verified.</w:t>
      </w:r>
    </w:p>
    <w:p>
      <w:pPr>
        <w:pStyle w:val="ListBullet"/>
        <w:spacing w:after="60"/>
      </w:pPr>
      <w:r>
        <w:rPr>
          <w:rFonts w:ascii="Cambria" w:hAnsi="Cambria"/>
          <w:b w:val="0"/>
          <w:color w:val="25364D"/>
          <w:sz w:val="16"/>
        </w:rPr>
        <w:t>Follow finance approval limits for refunds/reversals.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Capture transaction date, amount, currency and non-sensitive reference identifiers.</w:t>
      </w:r>
    </w:p>
    <w:p>
      <w:pPr>
        <w:pStyle w:val="ListNumber"/>
        <w:spacing w:after="60"/>
      </w:pPr>
      <w:r>
        <w:rPr>
          <w:rFonts w:ascii="Cambria" w:hAnsi="Cambria"/>
          <w:b w:val="0"/>
          <w:color w:val="25364D"/>
          <w:sz w:val="16"/>
        </w:rPr>
        <w:t>2. Determine whether both transactions are settled, pending or reversed.</w:t>
      </w:r>
    </w:p>
    <w:p>
      <w:pPr>
        <w:pStyle w:val="ListNumber"/>
        <w:spacing w:after="60"/>
      </w:pPr>
      <w:r>
        <w:rPr>
          <w:rFonts w:ascii="Cambria" w:hAnsi="Cambria"/>
          <w:b w:val="0"/>
          <w:color w:val="25364D"/>
          <w:sz w:val="16"/>
        </w:rPr>
        <w:t>3. Check for duplicate order/subscription records.</w:t>
      </w:r>
    </w:p>
    <w:p>
      <w:pPr>
        <w:pStyle w:val="ListNumber"/>
        <w:spacing w:after="60"/>
      </w:pPr>
      <w:r>
        <w:rPr>
          <w:rFonts w:ascii="Cambria" w:hAnsi="Cambria"/>
          <w:b w:val="0"/>
          <w:color w:val="25364D"/>
          <w:sz w:val="16"/>
        </w:rPr>
        <w:t>4. If one transaction is only an authorization, explain the expected release path.</w:t>
      </w:r>
    </w:p>
    <w:p>
      <w:pPr>
        <w:pStyle w:val="ListNumber"/>
        <w:spacing w:after="60"/>
      </w:pPr>
      <w:r>
        <w:rPr>
          <w:rFonts w:ascii="Cambria" w:hAnsi="Cambria"/>
          <w:b w:val="0"/>
          <w:color w:val="25364D"/>
          <w:sz w:val="16"/>
        </w:rPr>
        <w:t>5. If both are settled duplicates, initiate the approved refund/reversal workflow.</w:t>
      </w:r>
    </w:p>
    <w:p>
      <w:pPr>
        <w:pStyle w:val="ListNumber"/>
        <w:spacing w:after="60"/>
      </w:pPr>
      <w:r>
        <w:rPr>
          <w:rFonts w:ascii="Cambria" w:hAnsi="Cambria"/>
          <w:b w:val="0"/>
          <w:color w:val="25364D"/>
          <w:sz w:val="16"/>
        </w:rPr>
        <w:t>6. Record the finance action and reference number in the ticket.</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Customer sees one valid charge or two clearly differentiated legitimate transactions.</w:t>
      </w:r>
    </w:p>
    <w:p>
      <w:pPr>
        <w:pStyle w:val="ListBullet"/>
        <w:spacing w:after="60"/>
      </w:pPr>
      <w:r>
        <w:rPr>
          <w:rFonts w:ascii="Cambria" w:hAnsi="Cambria"/>
          <w:b w:val="0"/>
          <w:color w:val="25364D"/>
          <w:sz w:val="16"/>
        </w:rPr>
        <w:t>Refund/reversal reference is recorded when applicable.</w:t>
      </w:r>
    </w:p>
    <w:p>
      <w:pPr>
        <w:pStyle w:val="ListBullet"/>
        <w:spacing w:after="60"/>
      </w:pPr>
      <w:r>
        <w:rPr>
          <w:rFonts w:ascii="Cambria" w:hAnsi="Cambria"/>
          <w:b w:val="0"/>
          <w:color w:val="25364D"/>
          <w:sz w:val="16"/>
        </w:rPr>
        <w:t>Customer communication matches the actual transaction state.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large-value or disputed transactions beyond resolver authority.</w:t>
      </w:r>
    </w:p>
    <w:p>
      <w:pPr>
        <w:pStyle w:val="ListBullet"/>
        <w:spacing w:after="60"/>
      </w:pPr>
      <w:r>
        <w:rPr>
          <w:rFonts w:ascii="Cambria" w:hAnsi="Cambria"/>
          <w:b w:val="0"/>
          <w:color w:val="25364D"/>
          <w:sz w:val="16"/>
        </w:rPr>
        <w:t>Escalate suspected fraud to Fraud Investigation.</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Never paste full payment card numbers or authentication data into the ticket or comments.</w:t>
            </w:r>
          </w:p>
        </w:tc>
      </w:tr>
    </w:tbl>
    <w:p>
      <w:pPr>
        <w:spacing w:after="20"/>
      </w:pPr>
    </w:p>
    <w:p>
      <w:pPr>
        <w:pStyle w:val="Heading1"/>
        <w:pageBreakBefore/>
        <w:pBdr>
          <w:bottom w:val="single" w:sz="10" w:space="5" w:color="2B67B1"/>
        </w:pBdr>
      </w:pPr>
      <w:r>
        <w:rPr>
          <w:rFonts w:ascii="Cambria" w:hAnsi="Cambria"/>
          <w:b/>
          <w:color w:val="1F4474"/>
          <w:sz w:val="34"/>
        </w:rPr>
        <w:t>8. KB-FIN-002 - Subscription paid but service not activated</w:t>
      </w:r>
    </w:p>
    <w:p>
      <w:pPr>
        <w:spacing w:after="60" w:line="252" w:lineRule="auto"/>
      </w:pPr>
      <w:r>
        <w:rPr>
          <w:rFonts w:ascii="Cambria" w:hAnsi="Cambria"/>
          <w:b w:val="0"/>
          <w:color w:val="25364D"/>
          <w:sz w:val="18"/>
        </w:rPr>
        <w:t>Use when payment succeeded but the purchased entitlement is not active.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Finance Operations, Technical Support</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Payment is confirmed but expected service remains unavailable.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KB-FIN-001, KB-TECH-002</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Payment is confirmed but expected service remains unavailable.</w:t>
      </w:r>
    </w:p>
    <w:p>
      <w:pPr>
        <w:pStyle w:val="ListBullet"/>
        <w:spacing w:after="60"/>
      </w:pPr>
      <w:r>
        <w:rPr>
          <w:rFonts w:ascii="Cambria" w:hAnsi="Cambria"/>
          <w:b w:val="0"/>
          <w:color w:val="25364D"/>
          <w:sz w:val="16"/>
        </w:rPr>
        <w:t>Symptom: Customer has a valid order/subscription reference.</w:t>
      </w:r>
    </w:p>
    <w:p>
      <w:pPr>
        <w:pStyle w:val="ListBullet"/>
        <w:spacing w:after="60"/>
      </w:pPr>
      <w:r>
        <w:rPr>
          <w:rFonts w:ascii="Cambria" w:hAnsi="Cambria"/>
          <w:b w:val="0"/>
          <w:color w:val="25364D"/>
          <w:sz w:val="16"/>
        </w:rPr>
        <w:t>Likely cause: Entitlement provisioning delay.</w:t>
      </w:r>
    </w:p>
    <w:p>
      <w:pPr>
        <w:pStyle w:val="ListBullet"/>
        <w:spacing w:after="60"/>
      </w:pPr>
      <w:r>
        <w:rPr>
          <w:rFonts w:ascii="Cambria" w:hAnsi="Cambria"/>
          <w:b w:val="0"/>
          <w:color w:val="25364D"/>
          <w:sz w:val="16"/>
        </w:rPr>
        <w:t>Likely cause: Payment-to-subscription synchronization failure.</w:t>
      </w:r>
    </w:p>
    <w:p>
      <w:pPr>
        <w:pStyle w:val="ListBullet"/>
        <w:spacing w:after="60"/>
      </w:pPr>
      <w:r>
        <w:rPr>
          <w:rFonts w:ascii="Cambria" w:hAnsi="Cambria"/>
          <w:b w:val="0"/>
          <w:color w:val="25364D"/>
          <w:sz w:val="16"/>
        </w:rPr>
        <w:t>Likely cause: Incorrect account mapping.</w:t>
      </w:r>
    </w:p>
    <w:p>
      <w:pPr>
        <w:pStyle w:val="ListBullet"/>
        <w:spacing w:after="60"/>
      </w:pPr>
      <w:r>
        <w:rPr>
          <w:rFonts w:ascii="Cambria" w:hAnsi="Cambria"/>
          <w:b w:val="0"/>
          <w:color w:val="25364D"/>
          <w:sz w:val="16"/>
        </w:rPr>
        <w:t>Likely cause: Activation job failure.</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Confirm payment using approved transaction/reference data.</w:t>
      </w:r>
    </w:p>
    <w:p>
      <w:pPr>
        <w:pStyle w:val="ListBullet"/>
        <w:spacing w:after="60"/>
      </w:pPr>
      <w:r>
        <w:rPr>
          <w:rFonts w:ascii="Cambria" w:hAnsi="Cambria"/>
          <w:b w:val="0"/>
          <w:color w:val="25364D"/>
          <w:sz w:val="16"/>
        </w:rPr>
        <w:t>Verify the target account and purchased plan.</w:t>
      </w:r>
    </w:p>
    <w:p>
      <w:pPr>
        <w:pStyle w:val="ListBullet"/>
        <w:spacing w:after="60"/>
      </w:pPr>
      <w:r>
        <w:rPr>
          <w:rFonts w:ascii="Cambria" w:hAnsi="Cambria"/>
          <w:b w:val="0"/>
          <w:color w:val="25364D"/>
          <w:sz w:val="16"/>
        </w:rPr>
        <w:t>Do not manually alter entitlement records outside approved operations.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Verify transaction status and subscription/order identifier.</w:t>
      </w:r>
    </w:p>
    <w:p>
      <w:pPr>
        <w:pStyle w:val="ListNumber"/>
        <w:spacing w:after="60"/>
      </w:pPr>
      <w:r>
        <w:rPr>
          <w:rFonts w:ascii="Cambria" w:hAnsi="Cambria"/>
          <w:b w:val="0"/>
          <w:color w:val="25364D"/>
          <w:sz w:val="16"/>
        </w:rPr>
        <w:t>2. Confirm the intended customer account and plan.</w:t>
      </w:r>
    </w:p>
    <w:p>
      <w:pPr>
        <w:pStyle w:val="ListNumber"/>
        <w:spacing w:after="60"/>
      </w:pPr>
      <w:r>
        <w:rPr>
          <w:rFonts w:ascii="Cambria" w:hAnsi="Cambria"/>
          <w:b w:val="0"/>
          <w:color w:val="25364D"/>
          <w:sz w:val="16"/>
        </w:rPr>
        <w:t>3. Check whether the entitlement record exists and whether activation completed.</w:t>
      </w:r>
    </w:p>
    <w:p>
      <w:pPr>
        <w:pStyle w:val="ListNumber"/>
        <w:spacing w:after="60"/>
      </w:pPr>
      <w:r>
        <w:rPr>
          <w:rFonts w:ascii="Cambria" w:hAnsi="Cambria"/>
          <w:b w:val="0"/>
          <w:color w:val="25364D"/>
          <w:sz w:val="16"/>
        </w:rPr>
        <w:t>4. If a provisioning job failed, route to the owning technical queue.</w:t>
      </w:r>
    </w:p>
    <w:p>
      <w:pPr>
        <w:pStyle w:val="ListNumber"/>
        <w:spacing w:after="60"/>
      </w:pPr>
      <w:r>
        <w:rPr>
          <w:rFonts w:ascii="Cambria" w:hAnsi="Cambria"/>
          <w:b w:val="0"/>
          <w:color w:val="25364D"/>
          <w:sz w:val="16"/>
        </w:rPr>
        <w:t>5. If payment is valid but entitlement is absent, coordinate finance and technical teams.</w:t>
      </w:r>
    </w:p>
    <w:p>
      <w:pPr>
        <w:pStyle w:val="ListNumber"/>
        <w:spacing w:after="60"/>
      </w:pPr>
      <w:r>
        <w:rPr>
          <w:rFonts w:ascii="Cambria" w:hAnsi="Cambria"/>
          <w:b w:val="0"/>
          <w:color w:val="25364D"/>
          <w:sz w:val="16"/>
        </w:rPr>
        <w:t>6. Communicate the next expected milestone to the customer.</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Service entitlement is active.</w:t>
      </w:r>
    </w:p>
    <w:p>
      <w:pPr>
        <w:pStyle w:val="ListBullet"/>
        <w:spacing w:after="60"/>
      </w:pPr>
      <w:r>
        <w:rPr>
          <w:rFonts w:ascii="Cambria" w:hAnsi="Cambria"/>
          <w:b w:val="0"/>
          <w:color w:val="25364D"/>
          <w:sz w:val="16"/>
        </w:rPr>
        <w:t>Payment and subscription records reconcile.</w:t>
      </w:r>
    </w:p>
    <w:p>
      <w:pPr>
        <w:pStyle w:val="ListBullet"/>
        <w:spacing w:after="60"/>
      </w:pPr>
      <w:r>
        <w:rPr>
          <w:rFonts w:ascii="Cambria" w:hAnsi="Cambria"/>
          <w:b w:val="0"/>
          <w:color w:val="25364D"/>
          <w:sz w:val="16"/>
        </w:rPr>
        <w:t>Customer confirms access or the platform confirms successful activation.</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provisioning/systemic activation failures.</w:t>
      </w:r>
    </w:p>
    <w:p>
      <w:pPr>
        <w:pStyle w:val="ListBullet"/>
        <w:spacing w:after="60"/>
      </w:pPr>
      <w:r>
        <w:rPr>
          <w:rFonts w:ascii="Cambria" w:hAnsi="Cambria"/>
          <w:b w:val="0"/>
          <w:color w:val="25364D"/>
          <w:sz w:val="16"/>
        </w:rPr>
        <w:t>Escalate payment disputes through Finance Operations.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Do not solve a finance reconciliation problem by changing technical entitlements without matching transaction evidence.</w:t>
            </w:r>
          </w:p>
        </w:tc>
      </w:tr>
    </w:tbl>
    <w:p>
      <w:pPr>
        <w:spacing w:after="20"/>
      </w:pPr>
    </w:p>
    <w:p>
      <w:pPr>
        <w:pStyle w:val="Heading1"/>
        <w:pageBreakBefore/>
        <w:pBdr>
          <w:bottom w:val="single" w:sz="10" w:space="5" w:color="2B67B1"/>
        </w:pBdr>
      </w:pPr>
      <w:r>
        <w:rPr>
          <w:rFonts w:ascii="Cambria" w:hAnsi="Cambria"/>
          <w:b/>
          <w:color w:val="1F4474"/>
          <w:sz w:val="34"/>
        </w:rPr>
        <w:t>9. KB-FIN-003 - Refund request after service failure</w:t>
      </w:r>
    </w:p>
    <w:p>
      <w:pPr>
        <w:spacing w:after="60" w:line="252" w:lineRule="auto"/>
      </w:pPr>
      <w:r>
        <w:rPr>
          <w:rFonts w:ascii="Cambria" w:hAnsi="Cambria"/>
          <w:b w:val="0"/>
          <w:color w:val="25364D"/>
          <w:sz w:val="18"/>
        </w:rPr>
        <w:t>Use when a customer requests a refund following service disruption or dissatisfaction.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KB-FIN-003</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Finance Operations, Customer Support</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Medium to 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requests full or partial refund.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KB-FIN-001, KB-FIN-002</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Customer requests full or partial refund.</w:t>
      </w:r>
    </w:p>
    <w:p>
      <w:pPr>
        <w:pStyle w:val="ListBullet"/>
        <w:spacing w:after="60"/>
      </w:pPr>
      <w:r>
        <w:rPr>
          <w:rFonts w:ascii="Cambria" w:hAnsi="Cambria"/>
          <w:b w:val="0"/>
          <w:color w:val="25364D"/>
          <w:sz w:val="16"/>
        </w:rPr>
        <w:t>Symptom: Service issue or failed delivery is documented.</w:t>
      </w:r>
    </w:p>
    <w:p>
      <w:pPr>
        <w:pStyle w:val="ListBullet"/>
        <w:spacing w:after="60"/>
      </w:pPr>
      <w:r>
        <w:rPr>
          <w:rFonts w:ascii="Cambria" w:hAnsi="Cambria"/>
          <w:b w:val="0"/>
          <w:color w:val="25364D"/>
          <w:sz w:val="16"/>
        </w:rPr>
        <w:t>Likely cause: Service not delivered.</w:t>
      </w:r>
    </w:p>
    <w:p>
      <w:pPr>
        <w:pStyle w:val="ListBullet"/>
        <w:spacing w:after="60"/>
      </w:pPr>
      <w:r>
        <w:rPr>
          <w:rFonts w:ascii="Cambria" w:hAnsi="Cambria"/>
          <w:b w:val="0"/>
          <w:color w:val="25364D"/>
          <w:sz w:val="16"/>
        </w:rPr>
        <w:t>Likely cause: Duplicate or erroneous charge.</w:t>
      </w:r>
    </w:p>
    <w:p>
      <w:pPr>
        <w:pStyle w:val="ListBullet"/>
        <w:spacing w:after="60"/>
      </w:pPr>
      <w:r>
        <w:rPr>
          <w:rFonts w:ascii="Cambria" w:hAnsi="Cambria"/>
          <w:b w:val="0"/>
          <w:color w:val="25364D"/>
          <w:sz w:val="16"/>
        </w:rPr>
        <w:t>Likely cause: Customer goodwill request within policy.</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Follow contractual and refund-policy boundaries.</w:t>
      </w:r>
    </w:p>
    <w:p>
      <w:pPr>
        <w:pStyle w:val="ListBullet"/>
        <w:spacing w:after="60"/>
      </w:pPr>
      <w:r>
        <w:rPr>
          <w:rFonts w:ascii="Cambria" w:hAnsi="Cambria"/>
          <w:b w:val="0"/>
          <w:color w:val="25364D"/>
          <w:sz w:val="16"/>
        </w:rPr>
        <w:t>Resolver may document evidence but should not approve refunds outside authority.</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Review ticket history and service-impact evidence.</w:t>
      </w:r>
    </w:p>
    <w:p>
      <w:pPr>
        <w:pStyle w:val="ListNumber"/>
        <w:spacing w:after="60"/>
      </w:pPr>
      <w:r>
        <w:rPr>
          <w:rFonts w:ascii="Cambria" w:hAnsi="Cambria"/>
          <w:b w:val="0"/>
          <w:color w:val="25364D"/>
          <w:sz w:val="16"/>
        </w:rPr>
        <w:t>2. Identify transaction/reference and payment status.</w:t>
      </w:r>
    </w:p>
    <w:p>
      <w:pPr>
        <w:pStyle w:val="ListNumber"/>
        <w:spacing w:after="60"/>
      </w:pPr>
      <w:r>
        <w:rPr>
          <w:rFonts w:ascii="Cambria" w:hAnsi="Cambria"/>
          <w:b w:val="0"/>
          <w:color w:val="25364D"/>
          <w:sz w:val="16"/>
        </w:rPr>
        <w:t>3. Determine eligibility under the applicable refund policy.</w:t>
      </w:r>
    </w:p>
    <w:p>
      <w:pPr>
        <w:pStyle w:val="ListNumber"/>
        <w:spacing w:after="60"/>
      </w:pPr>
      <w:r>
        <w:rPr>
          <w:rFonts w:ascii="Cambria" w:hAnsi="Cambria"/>
          <w:b w:val="0"/>
          <w:color w:val="25364D"/>
          <w:sz w:val="16"/>
        </w:rPr>
        <w:t>4. Obtain required approval when outside resolver authority.</w:t>
      </w:r>
    </w:p>
    <w:p>
      <w:pPr>
        <w:pStyle w:val="ListNumber"/>
        <w:spacing w:after="60"/>
      </w:pPr>
      <w:r>
        <w:rPr>
          <w:rFonts w:ascii="Cambria" w:hAnsi="Cambria"/>
          <w:b w:val="0"/>
          <w:color w:val="25364D"/>
          <w:sz w:val="16"/>
        </w:rPr>
        <w:t>5. Initiate approved refund workflow.</w:t>
      </w:r>
    </w:p>
    <w:p>
      <w:pPr>
        <w:pStyle w:val="ListNumber"/>
        <w:spacing w:after="60"/>
      </w:pPr>
      <w:r>
        <w:rPr>
          <w:rFonts w:ascii="Cambria" w:hAnsi="Cambria"/>
          <w:b w:val="0"/>
          <w:color w:val="25364D"/>
          <w:sz w:val="16"/>
        </w:rPr>
        <w:t>6. Record refund amount, reference and communication.</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Refund request is approved/rejected with recorded rationale.</w:t>
      </w:r>
    </w:p>
    <w:p>
      <w:pPr>
        <w:pStyle w:val="ListBullet"/>
        <w:spacing w:after="60"/>
      </w:pPr>
      <w:r>
        <w:rPr>
          <w:rFonts w:ascii="Cambria" w:hAnsi="Cambria"/>
          <w:b w:val="0"/>
          <w:color w:val="25364D"/>
          <w:sz w:val="16"/>
        </w:rPr>
        <w:t>Financial transaction reference is captured.</w:t>
      </w:r>
    </w:p>
    <w:p>
      <w:pPr>
        <w:pStyle w:val="ListBullet"/>
        <w:spacing w:after="60"/>
      </w:pPr>
      <w:r>
        <w:rPr>
          <w:rFonts w:ascii="Cambria" w:hAnsi="Cambria"/>
          <w:b w:val="0"/>
          <w:color w:val="25364D"/>
          <w:sz w:val="16"/>
        </w:rPr>
        <w:t>Customer receives accurate outcome and timeline.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exceptions, high-value refunds or policy disputes.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Separate service remediation from financial approval; both may be required on the same ticket.</w:t>
            </w:r>
          </w:p>
        </w:tc>
      </w:tr>
    </w:tbl>
    <w:p>
      <w:pPr>
        <w:spacing w:after="20"/>
      </w:pPr>
    </w:p>
    <w:p>
      <w:pPr>
        <w:pStyle w:val="Heading1"/>
        <w:pageBreakBefore/>
        <w:pBdr>
          <w:bottom w:val="single" w:sz="10" w:space="5" w:color="2B67B1"/>
        </w:pBdr>
      </w:pPr>
      <w:r>
        <w:rPr>
          <w:rFonts w:ascii="Cambria" w:hAnsi="Cambria"/>
          <w:b/>
          <w:color w:val="1F4474"/>
          <w:sz w:val="34"/>
        </w:rPr>
        <w:t>10. KB-TECH-001 - Portal unavailable / broad service outage</w:t>
      </w:r>
    </w:p>
    <w:p>
      <w:pPr>
        <w:spacing w:after="60" w:line="252" w:lineRule="auto"/>
      </w:pPr>
      <w:r>
        <w:rPr>
          <w:rFonts w:ascii="Cambria" w:hAnsi="Cambria"/>
          <w:b w:val="0"/>
          <w:color w:val="25364D"/>
          <w:sz w:val="18"/>
        </w:rPr>
        <w:t>Use when multiple users cannot access the application or a major service is unavailable.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Site Reliability, Technical Support, Incident Management</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 to 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Multiple users report the same outage.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KB-TECH-002, KB-OPS-003</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Multiple users report the same outage.</w:t>
      </w:r>
    </w:p>
    <w:p>
      <w:pPr>
        <w:pStyle w:val="ListBullet"/>
        <w:spacing w:after="60"/>
      </w:pPr>
      <w:r>
        <w:rPr>
          <w:rFonts w:ascii="Cambria" w:hAnsi="Cambria"/>
          <w:b w:val="0"/>
          <w:color w:val="25364D"/>
          <w:sz w:val="16"/>
        </w:rPr>
        <w:t>Symptom: Core application or portal is unavailable.</w:t>
      </w:r>
    </w:p>
    <w:p>
      <w:pPr>
        <w:pStyle w:val="ListBullet"/>
        <w:spacing w:after="60"/>
      </w:pPr>
      <w:r>
        <w:rPr>
          <w:rFonts w:ascii="Cambria" w:hAnsi="Cambria"/>
          <w:b w:val="0"/>
          <w:color w:val="25364D"/>
          <w:sz w:val="16"/>
        </w:rPr>
        <w:t>Likely cause: Infrastructure outage.</w:t>
      </w:r>
    </w:p>
    <w:p>
      <w:pPr>
        <w:pStyle w:val="ListBullet"/>
        <w:spacing w:after="60"/>
      </w:pPr>
      <w:r>
        <w:rPr>
          <w:rFonts w:ascii="Cambria" w:hAnsi="Cambria"/>
          <w:b w:val="0"/>
          <w:color w:val="25364D"/>
          <w:sz w:val="16"/>
        </w:rPr>
        <w:t>Likely cause: Deployment/configuration regression.</w:t>
      </w:r>
    </w:p>
    <w:p>
      <w:pPr>
        <w:pStyle w:val="ListBullet"/>
        <w:spacing w:after="60"/>
      </w:pPr>
      <w:r>
        <w:rPr>
          <w:rFonts w:ascii="Cambria" w:hAnsi="Cambria"/>
          <w:b w:val="0"/>
          <w:color w:val="25364D"/>
          <w:sz w:val="16"/>
        </w:rPr>
        <w:t>Likely cause: Dependency failure.</w:t>
      </w:r>
    </w:p>
    <w:p>
      <w:pPr>
        <w:pStyle w:val="ListBullet"/>
        <w:spacing w:after="60"/>
      </w:pPr>
      <w:r>
        <w:rPr>
          <w:rFonts w:ascii="Cambria" w:hAnsi="Cambria"/>
          <w:b w:val="0"/>
          <w:color w:val="25364D"/>
          <w:sz w:val="16"/>
        </w:rPr>
        <w:t>Likely cause: Capacity saturation.</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Treat widespread impact as a potential incident, not just an individual ticket.</w:t>
      </w:r>
    </w:p>
    <w:p>
      <w:pPr>
        <w:pStyle w:val="ListBullet"/>
        <w:spacing w:after="60"/>
      </w:pPr>
      <w:r>
        <w:rPr>
          <w:rFonts w:ascii="Cambria" w:hAnsi="Cambria"/>
          <w:b w:val="0"/>
          <w:color w:val="25364D"/>
          <w:sz w:val="16"/>
        </w:rPr>
        <w:t>Do not repeatedly retry destructive operations.</w:t>
      </w:r>
    </w:p>
    <w:p>
      <w:pPr>
        <w:pStyle w:val="ListBullet"/>
        <w:spacing w:after="60"/>
      </w:pPr>
      <w:r>
        <w:rPr>
          <w:rFonts w:ascii="Cambria" w:hAnsi="Cambria"/>
          <w:b w:val="0"/>
          <w:color w:val="25364D"/>
          <w:sz w:val="16"/>
        </w:rPr>
        <w:t>Follow approved incident communication channels.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Determine scope: one user, one tenant, multiple tenants or global.</w:t>
      </w:r>
    </w:p>
    <w:p>
      <w:pPr>
        <w:pStyle w:val="ListNumber"/>
        <w:spacing w:after="60"/>
      </w:pPr>
      <w:r>
        <w:rPr>
          <w:rFonts w:ascii="Cambria" w:hAnsi="Cambria"/>
          <w:b w:val="0"/>
          <w:color w:val="25364D"/>
          <w:sz w:val="16"/>
        </w:rPr>
        <w:t>2. Compare ticket timing and symptoms across related cases.</w:t>
      </w:r>
    </w:p>
    <w:p>
      <w:pPr>
        <w:pStyle w:val="ListNumber"/>
        <w:spacing w:after="60"/>
      </w:pPr>
      <w:r>
        <w:rPr>
          <w:rFonts w:ascii="Cambria" w:hAnsi="Cambria"/>
          <w:b w:val="0"/>
          <w:color w:val="25364D"/>
          <w:sz w:val="16"/>
        </w:rPr>
        <w:t>3. Check known incidents/platform health where available.</w:t>
      </w:r>
    </w:p>
    <w:p>
      <w:pPr>
        <w:pStyle w:val="ListNumber"/>
        <w:spacing w:after="60"/>
      </w:pPr>
      <w:r>
        <w:rPr>
          <w:rFonts w:ascii="Cambria" w:hAnsi="Cambria"/>
          <w:b w:val="0"/>
          <w:color w:val="25364D"/>
          <w:sz w:val="16"/>
        </w:rPr>
        <w:t>4. Route to Site Reliability for broad availability failures.</w:t>
      </w:r>
    </w:p>
    <w:p>
      <w:pPr>
        <w:pStyle w:val="ListNumber"/>
        <w:spacing w:after="60"/>
      </w:pPr>
      <w:r>
        <w:rPr>
          <w:rFonts w:ascii="Cambria" w:hAnsi="Cambria"/>
          <w:b w:val="0"/>
          <w:color w:val="25364D"/>
          <w:sz w:val="16"/>
        </w:rPr>
        <w:t>5. Capture customer business impact for incident prioritization.</w:t>
      </w:r>
    </w:p>
    <w:p>
      <w:pPr>
        <w:pStyle w:val="ListNumber"/>
        <w:spacing w:after="60"/>
      </w:pPr>
      <w:r>
        <w:rPr>
          <w:rFonts w:ascii="Cambria" w:hAnsi="Cambria"/>
          <w:b w:val="0"/>
          <w:color w:val="25364D"/>
          <w:sz w:val="16"/>
        </w:rPr>
        <w:t>6. Keep the ticket linked to the parent incident when applicable.</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Service health is restored or incident owner confirms stabilization.</w:t>
      </w:r>
    </w:p>
    <w:p>
      <w:pPr>
        <w:pStyle w:val="ListBullet"/>
        <w:spacing w:after="60"/>
      </w:pPr>
      <w:r>
        <w:rPr>
          <w:rFonts w:ascii="Cambria" w:hAnsi="Cambria"/>
          <w:b w:val="0"/>
          <w:color w:val="25364D"/>
          <w:sz w:val="16"/>
        </w:rPr>
        <w:t>Customer receives accurate status communication.</w:t>
      </w:r>
    </w:p>
    <w:p>
      <w:pPr>
        <w:pStyle w:val="ListBullet"/>
        <w:spacing w:after="60"/>
      </w:pPr>
      <w:r>
        <w:rPr>
          <w:rFonts w:ascii="Cambria" w:hAnsi="Cambria"/>
          <w:b w:val="0"/>
          <w:color w:val="25364D"/>
          <w:sz w:val="16"/>
        </w:rPr>
        <w:t>Ticket references the parent incident where applicable.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Immediate incident escalation for broad/multi-tenant impact.</w:t>
      </w:r>
    </w:p>
    <w:p>
      <w:pPr>
        <w:pStyle w:val="ListBullet"/>
        <w:spacing w:after="60"/>
      </w:pPr>
      <w:r>
        <w:rPr>
          <w:rFonts w:ascii="Cambria" w:hAnsi="Cambria"/>
          <w:b w:val="0"/>
          <w:color w:val="25364D"/>
          <w:sz w:val="16"/>
        </w:rPr>
        <w:t>Escalate critical business processes such as payroll or security functions.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Avoid treating repeated customer reports as isolated tickets when evidence indicates a shared incident.</w:t>
            </w:r>
          </w:p>
        </w:tc>
      </w:tr>
    </w:tbl>
    <w:p>
      <w:pPr>
        <w:spacing w:after="20"/>
      </w:pPr>
    </w:p>
    <w:p>
      <w:pPr>
        <w:pStyle w:val="Heading1"/>
        <w:pageBreakBefore/>
        <w:pBdr>
          <w:bottom w:val="single" w:sz="10" w:space="5" w:color="2B67B1"/>
        </w:pBdr>
      </w:pPr>
      <w:r>
        <w:rPr>
          <w:rFonts w:ascii="Cambria" w:hAnsi="Cambria"/>
          <w:b/>
          <w:color w:val="1F4474"/>
          <w:sz w:val="34"/>
        </w:rPr>
        <w:t>11. KB-TECH-002 - Business-critical integration/API failure</w:t>
      </w:r>
    </w:p>
    <w:p>
      <w:pPr>
        <w:spacing w:after="60" w:line="252" w:lineRule="auto"/>
      </w:pPr>
      <w:r>
        <w:rPr>
          <w:rFonts w:ascii="Cambria" w:hAnsi="Cambria"/>
          <w:b w:val="0"/>
          <w:color w:val="25364D"/>
          <w:sz w:val="18"/>
        </w:rPr>
        <w:t>Use when an integration, API or automation required for business processing is failing.</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Technical Support, Integration Team</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 to 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API requests fail consistently.</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KB-TECH-001, KB-OPS-001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API requests fail consistently.</w:t>
      </w:r>
    </w:p>
    <w:p>
      <w:pPr>
        <w:pStyle w:val="ListBullet"/>
        <w:spacing w:after="60"/>
      </w:pPr>
      <w:r>
        <w:rPr>
          <w:rFonts w:ascii="Cambria" w:hAnsi="Cambria"/>
          <w:b w:val="0"/>
          <w:color w:val="25364D"/>
          <w:sz w:val="16"/>
        </w:rPr>
        <w:t>Symptom: Business process is blocked by an integration.</w:t>
      </w:r>
    </w:p>
    <w:p>
      <w:pPr>
        <w:pStyle w:val="ListBullet"/>
        <w:spacing w:after="60"/>
      </w:pPr>
      <w:r>
        <w:rPr>
          <w:rFonts w:ascii="Cambria" w:hAnsi="Cambria"/>
          <w:b w:val="0"/>
          <w:color w:val="25364D"/>
          <w:sz w:val="16"/>
        </w:rPr>
        <w:t>Likely cause: Authentication/credential expiry.</w:t>
      </w:r>
    </w:p>
    <w:p>
      <w:pPr>
        <w:pStyle w:val="ListBullet"/>
        <w:spacing w:after="60"/>
      </w:pPr>
      <w:r>
        <w:rPr>
          <w:rFonts w:ascii="Cambria" w:hAnsi="Cambria"/>
          <w:b w:val="0"/>
          <w:color w:val="25364D"/>
          <w:sz w:val="16"/>
        </w:rPr>
        <w:t>Likely cause: Schema or contract change.</w:t>
      </w:r>
    </w:p>
    <w:p>
      <w:pPr>
        <w:pStyle w:val="ListBullet"/>
        <w:spacing w:after="60"/>
      </w:pPr>
      <w:r>
        <w:rPr>
          <w:rFonts w:ascii="Cambria" w:hAnsi="Cambria"/>
          <w:b w:val="0"/>
          <w:color w:val="25364D"/>
          <w:sz w:val="16"/>
        </w:rPr>
        <w:t>Likely cause: Endpoint availability failure.</w:t>
      </w:r>
    </w:p>
    <w:p>
      <w:pPr>
        <w:pStyle w:val="ListBullet"/>
        <w:spacing w:after="60"/>
      </w:pPr>
      <w:r>
        <w:rPr>
          <w:rFonts w:ascii="Cambria" w:hAnsi="Cambria"/>
          <w:b w:val="0"/>
          <w:color w:val="25364D"/>
          <w:sz w:val="16"/>
        </w:rPr>
        <w:t>Likely cause: Rate limit or dependency issue.</w:t>
      </w:r>
    </w:p>
    <w:p>
      <w:pPr>
        <w:pStyle w:val="ListBullet"/>
        <w:spacing w:after="60"/>
      </w:pPr>
      <w:r>
        <w:rPr>
          <w:rFonts w:ascii="Cambria" w:hAnsi="Cambria"/>
          <w:b w:val="0"/>
          <w:color w:val="25364D"/>
          <w:sz w:val="16"/>
        </w:rPr>
        <w:t>Likely cause: Application configuration mismatch.</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Use non-sensitive request/response identifiers.</w:t>
      </w:r>
    </w:p>
    <w:p>
      <w:pPr>
        <w:pStyle w:val="ListBullet"/>
        <w:spacing w:after="60"/>
      </w:pPr>
      <w:r>
        <w:rPr>
          <w:rFonts w:ascii="Cambria" w:hAnsi="Cambria"/>
          <w:b w:val="0"/>
          <w:color w:val="25364D"/>
          <w:sz w:val="16"/>
        </w:rPr>
        <w:t>Do not expose production secrets in tickets.</w:t>
      </w:r>
    </w:p>
    <w:p>
      <w:pPr>
        <w:pStyle w:val="ListBullet"/>
        <w:spacing w:after="60"/>
      </w:pPr>
      <w:r>
        <w:rPr>
          <w:rFonts w:ascii="Cambria" w:hAnsi="Cambria"/>
          <w:b w:val="0"/>
          <w:color w:val="25364D"/>
          <w:sz w:val="16"/>
        </w:rPr>
        <w:t>Check whether an approved maintenance or change is already in progress.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Capture endpoint/service name and approximate failure window.</w:t>
      </w:r>
    </w:p>
    <w:p>
      <w:pPr>
        <w:pStyle w:val="ListNumber"/>
        <w:spacing w:after="60"/>
      </w:pPr>
      <w:r>
        <w:rPr>
          <w:rFonts w:ascii="Cambria" w:hAnsi="Cambria"/>
          <w:b w:val="0"/>
          <w:color w:val="25364D"/>
          <w:sz w:val="16"/>
        </w:rPr>
        <w:t>2. Determine whether failures are all requests or a subset.</w:t>
      </w:r>
    </w:p>
    <w:p>
      <w:pPr>
        <w:pStyle w:val="ListNumber"/>
        <w:spacing w:after="60"/>
      </w:pPr>
      <w:r>
        <w:rPr>
          <w:rFonts w:ascii="Cambria" w:hAnsi="Cambria"/>
          <w:b w:val="0"/>
          <w:color w:val="25364D"/>
          <w:sz w:val="16"/>
        </w:rPr>
        <w:t>3. Check response class or error signature if available.</w:t>
      </w:r>
    </w:p>
    <w:p>
      <w:pPr>
        <w:pStyle w:val="ListNumber"/>
        <w:spacing w:after="60"/>
      </w:pPr>
      <w:r>
        <w:rPr>
          <w:rFonts w:ascii="Cambria" w:hAnsi="Cambria"/>
          <w:b w:val="0"/>
          <w:color w:val="25364D"/>
          <w:sz w:val="16"/>
        </w:rPr>
        <w:t>4. Validate configuration and credentials through approved controls.</w:t>
      </w:r>
    </w:p>
    <w:p>
      <w:pPr>
        <w:pStyle w:val="ListNumber"/>
        <w:spacing w:after="60"/>
      </w:pPr>
      <w:r>
        <w:rPr>
          <w:rFonts w:ascii="Cambria" w:hAnsi="Cambria"/>
          <w:b w:val="0"/>
          <w:color w:val="25364D"/>
          <w:sz w:val="16"/>
        </w:rPr>
        <w:t>5. Compare the current interface contract against the supported version.</w:t>
      </w:r>
    </w:p>
    <w:p>
      <w:pPr>
        <w:pStyle w:val="ListNumber"/>
        <w:spacing w:after="60"/>
      </w:pPr>
      <w:r>
        <w:rPr>
          <w:rFonts w:ascii="Cambria" w:hAnsi="Cambria"/>
          <w:b w:val="0"/>
          <w:color w:val="25364D"/>
          <w:sz w:val="16"/>
        </w:rPr>
        <w:t>6. Escalate to the integration/platform owner if the issue is systemic or persists after configuration validation.</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Successful request or business transaction completes.</w:t>
      </w:r>
    </w:p>
    <w:p>
      <w:pPr>
        <w:pStyle w:val="ListBullet"/>
        <w:spacing w:after="60"/>
      </w:pPr>
      <w:r>
        <w:rPr>
          <w:rFonts w:ascii="Cambria" w:hAnsi="Cambria"/>
          <w:b w:val="0"/>
          <w:color w:val="25364D"/>
          <w:sz w:val="16"/>
        </w:rPr>
        <w:t>No credentials or sensitive payloads were exposed.</w:t>
      </w:r>
    </w:p>
    <w:p>
      <w:pPr>
        <w:pStyle w:val="ListBullet"/>
        <w:spacing w:after="60"/>
      </w:pPr>
      <w:r>
        <w:rPr>
          <w:rFonts w:ascii="Cambria" w:hAnsi="Cambria"/>
          <w:b w:val="0"/>
          <w:color w:val="25364D"/>
          <w:sz w:val="16"/>
        </w:rPr>
        <w:t>Customer/business owner confirms recovery.</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systemic integration defects, repeated 5xx responses or data integrity concerns.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The resolver should distinguish an authentication/configuration issue from a service outage before routing to infrastructure.</w:t>
            </w:r>
          </w:p>
        </w:tc>
      </w:tr>
    </w:tbl>
    <w:p>
      <w:pPr>
        <w:spacing w:after="20"/>
      </w:pPr>
    </w:p>
    <w:p>
      <w:pPr>
        <w:pStyle w:val="Heading1"/>
        <w:pageBreakBefore/>
        <w:pBdr>
          <w:bottom w:val="single" w:sz="10" w:space="5" w:color="2B67B1"/>
        </w:pBdr>
      </w:pPr>
      <w:r>
        <w:rPr>
          <w:rFonts w:ascii="Cambria" w:hAnsi="Cambria"/>
          <w:b/>
          <w:color w:val="1F4474"/>
          <w:sz w:val="34"/>
        </w:rPr>
        <w:t>12. KB-TECH-003 - Connectivity / intermittent access issue</w:t>
      </w:r>
    </w:p>
    <w:p>
      <w:pPr>
        <w:spacing w:after="60" w:line="252" w:lineRule="auto"/>
      </w:pPr>
      <w:r>
        <w:rPr>
          <w:rFonts w:ascii="Cambria" w:hAnsi="Cambria"/>
          <w:b w:val="0"/>
          <w:color w:val="25364D"/>
          <w:sz w:val="18"/>
        </w:rPr>
        <w:t>Use when a user reports intermittent connectivity or access that does not appear to affect all users.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KB-TECH-003</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Technical Support</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Medium to High</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Intermittent access.</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Intermittent access.</w:t>
      </w:r>
    </w:p>
    <w:p>
      <w:pPr>
        <w:pStyle w:val="ListBullet"/>
        <w:spacing w:after="60"/>
      </w:pPr>
      <w:r>
        <w:rPr>
          <w:rFonts w:ascii="Cambria" w:hAnsi="Cambria"/>
          <w:b w:val="0"/>
          <w:color w:val="25364D"/>
          <w:sz w:val="16"/>
        </w:rPr>
        <w:t>Symptom: Single user or limited group affected.</w:t>
      </w:r>
    </w:p>
    <w:p>
      <w:pPr>
        <w:pStyle w:val="ListBullet"/>
        <w:spacing w:after="60"/>
      </w:pPr>
      <w:r>
        <w:rPr>
          <w:rFonts w:ascii="Cambria" w:hAnsi="Cambria"/>
          <w:b w:val="0"/>
          <w:color w:val="25364D"/>
          <w:sz w:val="16"/>
        </w:rPr>
        <w:t>Likely cause: Local network path.</w:t>
      </w:r>
    </w:p>
    <w:p>
      <w:pPr>
        <w:pStyle w:val="ListBullet"/>
        <w:spacing w:after="60"/>
      </w:pPr>
      <w:r>
        <w:rPr>
          <w:rFonts w:ascii="Cambria" w:hAnsi="Cambria"/>
          <w:b w:val="0"/>
          <w:color w:val="25364D"/>
          <w:sz w:val="16"/>
        </w:rPr>
        <w:t>Likely cause: Client/browser cache.</w:t>
      </w:r>
    </w:p>
    <w:p>
      <w:pPr>
        <w:pStyle w:val="ListBullet"/>
        <w:spacing w:after="60"/>
      </w:pPr>
      <w:r>
        <w:rPr>
          <w:rFonts w:ascii="Cambria" w:hAnsi="Cambria"/>
          <w:b w:val="0"/>
          <w:color w:val="25364D"/>
          <w:sz w:val="16"/>
        </w:rPr>
        <w:t>Likely cause: VPN/proxy behavior.</w:t>
      </w:r>
    </w:p>
    <w:p>
      <w:pPr>
        <w:pStyle w:val="ListBullet"/>
        <w:spacing w:after="60"/>
      </w:pPr>
      <w:r>
        <w:rPr>
          <w:rFonts w:ascii="Cambria" w:hAnsi="Cambria"/>
          <w:b w:val="0"/>
          <w:color w:val="25364D"/>
          <w:sz w:val="16"/>
        </w:rPr>
        <w:t>Likely cause: Endpoint-specific configuration.</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Avoid requesting sensitive device credentials.</w:t>
      </w:r>
    </w:p>
    <w:p>
      <w:pPr>
        <w:pStyle w:val="ListBullet"/>
        <w:spacing w:after="60"/>
      </w:pPr>
      <w:r>
        <w:rPr>
          <w:rFonts w:ascii="Cambria" w:hAnsi="Cambria"/>
          <w:b w:val="0"/>
          <w:color w:val="25364D"/>
          <w:sz w:val="16"/>
        </w:rPr>
        <w:t>Use customer-provided timestamps and safe diagnostic observations.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Establish whether the issue follows the user, device or network.</w:t>
      </w:r>
    </w:p>
    <w:p>
      <w:pPr>
        <w:pStyle w:val="ListNumber"/>
        <w:spacing w:after="60"/>
      </w:pPr>
      <w:r>
        <w:rPr>
          <w:rFonts w:ascii="Cambria" w:hAnsi="Cambria"/>
          <w:b w:val="0"/>
          <w:color w:val="25364D"/>
          <w:sz w:val="16"/>
        </w:rPr>
        <w:t>2. Compare browser/client behavior where appropriate.</w:t>
      </w:r>
    </w:p>
    <w:p>
      <w:pPr>
        <w:pStyle w:val="ListNumber"/>
        <w:spacing w:after="60"/>
      </w:pPr>
      <w:r>
        <w:rPr>
          <w:rFonts w:ascii="Cambria" w:hAnsi="Cambria"/>
          <w:b w:val="0"/>
          <w:color w:val="25364D"/>
          <w:sz w:val="16"/>
        </w:rPr>
        <w:t>3. Clear safe client state only with customer approval.</w:t>
      </w:r>
    </w:p>
    <w:p>
      <w:pPr>
        <w:pStyle w:val="ListNumber"/>
        <w:spacing w:after="60"/>
      </w:pPr>
      <w:r>
        <w:rPr>
          <w:rFonts w:ascii="Cambria" w:hAnsi="Cambria"/>
          <w:b w:val="0"/>
          <w:color w:val="25364D"/>
          <w:sz w:val="16"/>
        </w:rPr>
        <w:t>4. Test through an approved alternate network path where practical.</w:t>
      </w:r>
    </w:p>
    <w:p>
      <w:pPr>
        <w:pStyle w:val="ListNumber"/>
        <w:spacing w:after="60"/>
      </w:pPr>
      <w:r>
        <w:rPr>
          <w:rFonts w:ascii="Cambria" w:hAnsi="Cambria"/>
          <w:b w:val="0"/>
          <w:color w:val="25364D"/>
          <w:sz w:val="16"/>
        </w:rPr>
        <w:t>5. Check whether known incidents exist.</w:t>
      </w:r>
    </w:p>
    <w:p>
      <w:pPr>
        <w:pStyle w:val="ListNumber"/>
        <w:spacing w:after="60"/>
      </w:pPr>
      <w:r>
        <w:rPr>
          <w:rFonts w:ascii="Cambria" w:hAnsi="Cambria"/>
          <w:b w:val="0"/>
          <w:color w:val="25364D"/>
          <w:sz w:val="16"/>
        </w:rPr>
        <w:t>6. Escalate if multiple users share the same path or if service-side evidence appears.</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Stable connectivity is restored or evidence identifies a service-side issue.</w:t>
      </w:r>
    </w:p>
    <w:p>
      <w:pPr>
        <w:pStyle w:val="ListBullet"/>
        <w:spacing w:after="60"/>
      </w:pPr>
      <w:r>
        <w:rPr>
          <w:rFonts w:ascii="Cambria" w:hAnsi="Cambria"/>
          <w:b w:val="0"/>
          <w:color w:val="25364D"/>
          <w:sz w:val="16"/>
        </w:rPr>
        <w:t>Resolution steps are documented.</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shared network/service symptoms to Site Reliability.</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Avoid excessive local troubleshooting when multiple customers report the same issue.</w:t>
            </w:r>
          </w:p>
        </w:tc>
      </w:tr>
    </w:tbl>
    <w:p>
      <w:pPr>
        <w:spacing w:after="20"/>
      </w:pPr>
    </w:p>
    <w:p>
      <w:pPr>
        <w:pStyle w:val="Heading1"/>
        <w:pageBreakBefore/>
        <w:pBdr>
          <w:bottom w:val="single" w:sz="10" w:space="5" w:color="2B67B1"/>
        </w:pBdr>
      </w:pPr>
      <w:r>
        <w:rPr>
          <w:rFonts w:ascii="Cambria" w:hAnsi="Cambria"/>
          <w:b/>
          <w:color w:val="1F4474"/>
          <w:sz w:val="34"/>
        </w:rPr>
        <w:t>13. KB-TECH-004 - Payroll or high-impact business process stopped</w:t>
      </w:r>
    </w:p>
    <w:p>
      <w:pPr>
        <w:spacing w:after="60" w:line="252" w:lineRule="auto"/>
      </w:pPr>
      <w:r>
        <w:rPr>
          <w:rFonts w:ascii="Cambria" w:hAnsi="Cambria"/>
          <w:b w:val="0"/>
          <w:color w:val="25364D"/>
          <w:sz w:val="18"/>
        </w:rPr>
        <w:t>Use for complaints where a core business process such as payroll is stopped or materially delayed.</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KB-TECH-004</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Technical Support, Site Reliability, Operations Manager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Business-critical processing has stopped.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KB-TECH-001, KB-TECH-002</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Business-critical processing has stopped.</w:t>
      </w:r>
    </w:p>
    <w:p>
      <w:pPr>
        <w:pStyle w:val="ListBullet"/>
        <w:spacing w:after="60"/>
      </w:pPr>
      <w:r>
        <w:rPr>
          <w:rFonts w:ascii="Cambria" w:hAnsi="Cambria"/>
          <w:b w:val="0"/>
          <w:color w:val="25364D"/>
          <w:sz w:val="16"/>
        </w:rPr>
        <w:t>Symptom: Large employee/customer population affected.</w:t>
      </w:r>
    </w:p>
    <w:p>
      <w:pPr>
        <w:pStyle w:val="ListBullet"/>
        <w:spacing w:after="60"/>
      </w:pPr>
      <w:r>
        <w:rPr>
          <w:rFonts w:ascii="Cambria" w:hAnsi="Cambria"/>
          <w:b w:val="0"/>
          <w:color w:val="25364D"/>
          <w:sz w:val="16"/>
        </w:rPr>
        <w:t>Likely cause: Service outage.</w:t>
      </w:r>
    </w:p>
    <w:p>
      <w:pPr>
        <w:pStyle w:val="ListBullet"/>
        <w:spacing w:after="60"/>
      </w:pPr>
      <w:r>
        <w:rPr>
          <w:rFonts w:ascii="Cambria" w:hAnsi="Cambria"/>
          <w:b w:val="0"/>
          <w:color w:val="25364D"/>
          <w:sz w:val="16"/>
        </w:rPr>
        <w:t>Likely cause: Integration failure.</w:t>
      </w:r>
    </w:p>
    <w:p>
      <w:pPr>
        <w:pStyle w:val="ListBullet"/>
        <w:spacing w:after="60"/>
      </w:pPr>
      <w:r>
        <w:rPr>
          <w:rFonts w:ascii="Cambria" w:hAnsi="Cambria"/>
          <w:b w:val="0"/>
          <w:color w:val="25364D"/>
          <w:sz w:val="16"/>
        </w:rPr>
        <w:t>Likely cause: Data processing job failure.</w:t>
      </w:r>
    </w:p>
    <w:p>
      <w:pPr>
        <w:pStyle w:val="ListBullet"/>
        <w:spacing w:after="60"/>
      </w:pPr>
      <w:r>
        <w:rPr>
          <w:rFonts w:ascii="Cambria" w:hAnsi="Cambria"/>
          <w:b w:val="0"/>
          <w:color w:val="25364D"/>
          <w:sz w:val="16"/>
        </w:rPr>
        <w:t>Likely cause: Dependency unavailable.</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Capture exact business impact and affected volume.</w:t>
      </w:r>
    </w:p>
    <w:p>
      <w:pPr>
        <w:pStyle w:val="ListBullet"/>
        <w:spacing w:after="60"/>
      </w:pPr>
      <w:r>
        <w:rPr>
          <w:rFonts w:ascii="Cambria" w:hAnsi="Cambria"/>
          <w:b w:val="0"/>
          <w:color w:val="25364D"/>
          <w:sz w:val="16"/>
        </w:rPr>
        <w:t>Do not manually manipulate financial or payroll records without authorized procedure.</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Confirm business process, affected population and last successful run.</w:t>
      </w:r>
    </w:p>
    <w:p>
      <w:pPr>
        <w:pStyle w:val="ListNumber"/>
        <w:spacing w:after="60"/>
      </w:pPr>
      <w:r>
        <w:rPr>
          <w:rFonts w:ascii="Cambria" w:hAnsi="Cambria"/>
          <w:b w:val="0"/>
          <w:color w:val="25364D"/>
          <w:sz w:val="16"/>
        </w:rPr>
        <w:t>2. Determine whether the issue is isolated to a tenant or systemic.</w:t>
      </w:r>
    </w:p>
    <w:p>
      <w:pPr>
        <w:pStyle w:val="ListNumber"/>
        <w:spacing w:after="60"/>
      </w:pPr>
      <w:r>
        <w:rPr>
          <w:rFonts w:ascii="Cambria" w:hAnsi="Cambria"/>
          <w:b w:val="0"/>
          <w:color w:val="25364D"/>
          <w:sz w:val="16"/>
        </w:rPr>
        <w:t>3. Check parent incident/change status.</w:t>
      </w:r>
    </w:p>
    <w:p>
      <w:pPr>
        <w:pStyle w:val="ListNumber"/>
        <w:spacing w:after="60"/>
      </w:pPr>
      <w:r>
        <w:rPr>
          <w:rFonts w:ascii="Cambria" w:hAnsi="Cambria"/>
          <w:b w:val="0"/>
          <w:color w:val="25364D"/>
          <w:sz w:val="16"/>
        </w:rPr>
        <w:t>4. Route to the technical owner based on the failure signature.</w:t>
      </w:r>
    </w:p>
    <w:p>
      <w:pPr>
        <w:pStyle w:val="ListNumber"/>
        <w:spacing w:after="60"/>
      </w:pPr>
      <w:r>
        <w:rPr>
          <w:rFonts w:ascii="Cambria" w:hAnsi="Cambria"/>
          <w:b w:val="0"/>
          <w:color w:val="25364D"/>
          <w:sz w:val="16"/>
        </w:rPr>
        <w:t>5. Record recovery milestones and business-impact updates.</w:t>
      </w:r>
    </w:p>
    <w:p>
      <w:pPr>
        <w:pStyle w:val="ListNumber"/>
        <w:spacing w:after="60"/>
      </w:pPr>
      <w:r>
        <w:rPr>
          <w:rFonts w:ascii="Cambria" w:hAnsi="Cambria"/>
          <w:b w:val="0"/>
          <w:color w:val="25364D"/>
          <w:sz w:val="16"/>
        </w:rPr>
        <w:t>6. Escalate to Operations Manager for sustained critical impact.</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Business process completes successfully or incident owner confirms recovery.</w:t>
      </w:r>
    </w:p>
    <w:p>
      <w:pPr>
        <w:pStyle w:val="ListBullet"/>
        <w:spacing w:after="60"/>
      </w:pPr>
      <w:r>
        <w:rPr>
          <w:rFonts w:ascii="Cambria" w:hAnsi="Cambria"/>
          <w:b w:val="0"/>
          <w:color w:val="25364D"/>
          <w:sz w:val="16"/>
        </w:rPr>
        <w:t>Customer/business owner receives a clear recovery statement.</w:t>
      </w:r>
    </w:p>
    <w:p>
      <w:pPr>
        <w:pStyle w:val="ListBullet"/>
        <w:spacing w:after="60"/>
      </w:pPr>
      <w:r>
        <w:rPr>
          <w:rFonts w:ascii="Cambria" w:hAnsi="Cambria"/>
          <w:b w:val="0"/>
          <w:color w:val="25364D"/>
          <w:sz w:val="16"/>
        </w:rPr>
        <w:t>Any manual remediation is documented and approved.</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Immediate escalation for large employee/customer impact or prolonged outage.</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Business impact can justify Critical priority even when the technical symptom looks routine.</w:t>
            </w:r>
          </w:p>
        </w:tc>
      </w:tr>
    </w:tbl>
    <w:p>
      <w:pPr>
        <w:spacing w:after="20"/>
      </w:pPr>
    </w:p>
    <w:p>
      <w:pPr>
        <w:pStyle w:val="Heading1"/>
        <w:pageBreakBefore/>
        <w:pBdr>
          <w:bottom w:val="single" w:sz="10" w:space="5" w:color="2B67B1"/>
        </w:pBdr>
      </w:pPr>
      <w:r>
        <w:rPr>
          <w:rFonts w:ascii="Cambria" w:hAnsi="Cambria"/>
          <w:b/>
          <w:color w:val="1F4474"/>
          <w:sz w:val="34"/>
        </w:rPr>
        <w:t>14. KB-OPS-001 - Ticket is unassigned / no automatic resolver</w:t>
      </w:r>
    </w:p>
    <w:p>
      <w:pPr>
        <w:spacing w:after="60" w:line="252" w:lineRule="auto"/>
      </w:pPr>
      <w:r>
        <w:rPr>
          <w:rFonts w:ascii="Cambria" w:hAnsi="Cambria"/>
          <w:b w:val="0"/>
          <w:color w:val="25364D"/>
          <w:sz w:val="18"/>
        </w:rPr>
        <w:t>Use when AI classification succeeds but no eligible resolver is available.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Service Desk, Operations Admin</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Ticket is OPEN and unassigned.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KB-OPS-002, KB-OPS-003</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Ticket is OPEN and unassigned.</w:t>
      </w:r>
    </w:p>
    <w:p>
      <w:pPr>
        <w:pStyle w:val="ListBullet"/>
        <w:spacing w:after="60"/>
      </w:pPr>
      <w:r>
        <w:rPr>
          <w:rFonts w:ascii="Cambria" w:hAnsi="Cambria"/>
          <w:b w:val="0"/>
          <w:color w:val="25364D"/>
          <w:sz w:val="16"/>
        </w:rPr>
        <w:t>Symptom: Assignment analysis reports no eligible resolver.</w:t>
      </w:r>
    </w:p>
    <w:p>
      <w:pPr>
        <w:pStyle w:val="ListBullet"/>
        <w:spacing w:after="60"/>
      </w:pPr>
      <w:r>
        <w:rPr>
          <w:rFonts w:ascii="Cambria" w:hAnsi="Cambria"/>
          <w:b w:val="0"/>
          <w:color w:val="25364D"/>
          <w:sz w:val="16"/>
        </w:rPr>
        <w:t>Likely cause: Outside working shift.</w:t>
      </w:r>
    </w:p>
    <w:p>
      <w:pPr>
        <w:pStyle w:val="ListBullet"/>
        <w:spacing w:after="60"/>
      </w:pPr>
      <w:r>
        <w:rPr>
          <w:rFonts w:ascii="Cambria" w:hAnsi="Cambria"/>
          <w:b w:val="0"/>
          <w:color w:val="25364D"/>
          <w:sz w:val="16"/>
        </w:rPr>
        <w:t>Likely cause: Resolver at capacity.</w:t>
      </w:r>
    </w:p>
    <w:p>
      <w:pPr>
        <w:pStyle w:val="ListBullet"/>
        <w:spacing w:after="60"/>
      </w:pPr>
      <w:r>
        <w:rPr>
          <w:rFonts w:ascii="Cambria" w:hAnsi="Cambria"/>
          <w:b w:val="0"/>
          <w:color w:val="25364D"/>
          <w:sz w:val="16"/>
        </w:rPr>
        <w:t>Likely cause: No qualified skill match.</w:t>
      </w:r>
    </w:p>
    <w:p>
      <w:pPr>
        <w:pStyle w:val="ListBullet"/>
        <w:spacing w:after="60"/>
      </w:pPr>
      <w:r>
        <w:rPr>
          <w:rFonts w:ascii="Cambria" w:hAnsi="Cambria"/>
          <w:b w:val="0"/>
          <w:color w:val="25364D"/>
          <w:sz w:val="16"/>
        </w:rPr>
        <w:t>Likely cause: Team taxonomy mismatch.</w:t>
      </w:r>
    </w:p>
    <w:p>
      <w:pPr>
        <w:pStyle w:val="ListBullet"/>
        <w:spacing w:after="60"/>
      </w:pPr>
      <w:r>
        <w:rPr>
          <w:rFonts w:ascii="Cambria" w:hAnsi="Cambria"/>
          <w:b w:val="0"/>
          <w:color w:val="25364D"/>
          <w:sz w:val="16"/>
        </w:rPr>
        <w:t>Likely cause: All normal workforce candidates unavailable.</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Do not bypass the operational team boundary.</w:t>
      </w:r>
    </w:p>
    <w:p>
      <w:pPr>
        <w:pStyle w:val="ListBullet"/>
        <w:spacing w:after="60"/>
      </w:pPr>
      <w:r>
        <w:rPr>
          <w:rFonts w:ascii="Cambria" w:hAnsi="Cambria"/>
          <w:b w:val="0"/>
          <w:color w:val="25364D"/>
          <w:sz w:val="16"/>
        </w:rPr>
        <w:t>Use manual assignment only to an active resolver in the correct operational team unless an approved exception exists.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Open assignment analysis and review all candidate explanations.</w:t>
      </w:r>
    </w:p>
    <w:p>
      <w:pPr>
        <w:pStyle w:val="ListNumber"/>
        <w:spacing w:after="60"/>
      </w:pPr>
      <w:r>
        <w:rPr>
          <w:rFonts w:ascii="Cambria" w:hAnsi="Cambria"/>
          <w:b w:val="0"/>
          <w:color w:val="25364D"/>
          <w:sz w:val="16"/>
        </w:rPr>
        <w:t>2. Confirm the operational team resolved from the ticket classification.</w:t>
      </w:r>
    </w:p>
    <w:p>
      <w:pPr>
        <w:pStyle w:val="ListNumber"/>
        <w:spacing w:after="60"/>
      </w:pPr>
      <w:r>
        <w:rPr>
          <w:rFonts w:ascii="Cambria" w:hAnsi="Cambria"/>
          <w:b w:val="0"/>
          <w:color w:val="25364D"/>
          <w:sz w:val="16"/>
        </w:rPr>
        <w:t>3. Review workforce status, shift, capacity and skill signals.</w:t>
      </w:r>
    </w:p>
    <w:p>
      <w:pPr>
        <w:pStyle w:val="ListNumber"/>
        <w:spacing w:after="60"/>
      </w:pPr>
      <w:r>
        <w:rPr>
          <w:rFonts w:ascii="Cambria" w:hAnsi="Cambria"/>
          <w:b w:val="0"/>
          <w:color w:val="25364D"/>
          <w:sz w:val="16"/>
        </w:rPr>
        <w:t>4. If an eligible resolver exists, use auto-assignment.</w:t>
      </w:r>
    </w:p>
    <w:p>
      <w:pPr>
        <w:pStyle w:val="ListNumber"/>
        <w:spacing w:after="60"/>
      </w:pPr>
      <w:r>
        <w:rPr>
          <w:rFonts w:ascii="Cambria" w:hAnsi="Cambria"/>
          <w:b w:val="0"/>
          <w:color w:val="25364D"/>
          <w:sz w:val="16"/>
        </w:rPr>
        <w:t>5. If no automatic candidate exists, use authorized manual assignment.</w:t>
      </w:r>
    </w:p>
    <w:p>
      <w:pPr>
        <w:pStyle w:val="ListNumber"/>
        <w:spacing w:after="60"/>
      </w:pPr>
      <w:r>
        <w:rPr>
          <w:rFonts w:ascii="Cambria" w:hAnsi="Cambria"/>
          <w:b w:val="0"/>
          <w:color w:val="25364D"/>
          <w:sz w:val="16"/>
        </w:rPr>
        <w:t>6. Record the reason for the override.</w:t>
      </w:r>
    </w:p>
    <w:p>
      <w:pPr>
        <w:pStyle w:val="ListNumber"/>
        <w:spacing w:after="60"/>
      </w:pPr>
      <w:r>
        <w:rPr>
          <w:rFonts w:ascii="Cambria" w:hAnsi="Cambria"/>
          <w:b w:val="0"/>
          <w:color w:val="25364D"/>
          <w:sz w:val="16"/>
        </w:rPr>
        <w:t>7. If no resolver exists in the team, escalate to workforce/queue administration.</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Ticket has an owner.</w:t>
      </w:r>
    </w:p>
    <w:p>
      <w:pPr>
        <w:pStyle w:val="ListBullet"/>
        <w:spacing w:after="60"/>
      </w:pPr>
      <w:r>
        <w:rPr>
          <w:rFonts w:ascii="Cambria" w:hAnsi="Cambria"/>
          <w:b w:val="0"/>
          <w:color w:val="25364D"/>
          <w:sz w:val="16"/>
        </w:rPr>
        <w:t>Assignment method and reason are captured.</w:t>
      </w:r>
    </w:p>
    <w:p>
      <w:pPr>
        <w:pStyle w:val="ListBullet"/>
        <w:spacing w:after="60"/>
      </w:pPr>
      <w:r>
        <w:rPr>
          <w:rFonts w:ascii="Cambria" w:hAnsi="Cambria"/>
          <w:b w:val="0"/>
          <w:color w:val="25364D"/>
          <w:sz w:val="16"/>
        </w:rPr>
        <w:t>Ticket remains OPEN until the resolver actually starts work.</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if a required operational team has no active resolver.</w:t>
      </w:r>
    </w:p>
    <w:p>
      <w:pPr>
        <w:pStyle w:val="ListBullet"/>
        <w:spacing w:after="60"/>
      </w:pPr>
      <w:r>
        <w:rPr>
          <w:rFonts w:ascii="Cambria" w:hAnsi="Cambria"/>
          <w:b w:val="0"/>
          <w:color w:val="25364D"/>
          <w:sz w:val="16"/>
        </w:rPr>
        <w:t>Escalate critical queue starvation immediately.</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Automatic routing failure is not a platform failure by itself; it may be the expected result of workforce constraints.</w:t>
            </w:r>
          </w:p>
        </w:tc>
      </w:tr>
    </w:tbl>
    <w:p>
      <w:pPr>
        <w:spacing w:after="20"/>
      </w:pPr>
    </w:p>
    <w:p>
      <w:pPr>
        <w:pStyle w:val="Heading1"/>
        <w:pageBreakBefore/>
        <w:pBdr>
          <w:bottom w:val="single" w:sz="10" w:space="5" w:color="2B67B1"/>
        </w:pBdr>
      </w:pPr>
      <w:r>
        <w:rPr>
          <w:rFonts w:ascii="Cambria" w:hAnsi="Cambria"/>
          <w:b/>
          <w:color w:val="1F4474"/>
          <w:sz w:val="34"/>
        </w:rPr>
        <w:t>15. KB-OPS-002 - SLA breached / SLA at risk</w:t>
      </w:r>
    </w:p>
    <w:p>
      <w:pPr>
        <w:spacing w:after="60" w:line="252" w:lineRule="auto"/>
      </w:pPr>
      <w:r>
        <w:rPr>
          <w:rFonts w:ascii="Cambria" w:hAnsi="Cambria"/>
          <w:b w:val="0"/>
          <w:color w:val="25364D"/>
          <w:sz w:val="18"/>
        </w:rPr>
        <w:t>Use when a ticket is approaching or has exceeded its response or resolution SLA.</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Service Desk, Resolver, Operations Manager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 to 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SLA state is AT_RISK or BREACHED.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KB-OPS-001, KB-OPS-004</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SLA state is AT_RISK or BREACHED.</w:t>
      </w:r>
    </w:p>
    <w:p>
      <w:pPr>
        <w:pStyle w:val="ListBullet"/>
        <w:spacing w:after="60"/>
      </w:pPr>
      <w:r>
        <w:rPr>
          <w:rFonts w:ascii="Cambria" w:hAnsi="Cambria"/>
          <w:b w:val="0"/>
          <w:color w:val="25364D"/>
          <w:sz w:val="16"/>
        </w:rPr>
        <w:t>Symptom: Customer impact may be increasing because of delay.</w:t>
      </w:r>
    </w:p>
    <w:p>
      <w:pPr>
        <w:pStyle w:val="ListBullet"/>
        <w:spacing w:after="60"/>
      </w:pPr>
      <w:r>
        <w:rPr>
          <w:rFonts w:ascii="Cambria" w:hAnsi="Cambria"/>
          <w:b w:val="0"/>
          <w:color w:val="25364D"/>
          <w:sz w:val="16"/>
        </w:rPr>
        <w:t>Likely cause: No resolver ownership.</w:t>
      </w:r>
    </w:p>
    <w:p>
      <w:pPr>
        <w:pStyle w:val="ListBullet"/>
        <w:spacing w:after="60"/>
      </w:pPr>
      <w:r>
        <w:rPr>
          <w:rFonts w:ascii="Cambria" w:hAnsi="Cambria"/>
          <w:b w:val="0"/>
          <w:color w:val="25364D"/>
          <w:sz w:val="16"/>
        </w:rPr>
        <w:t>Likely cause: High workload on resolver.</w:t>
      </w:r>
    </w:p>
    <w:p>
      <w:pPr>
        <w:pStyle w:val="ListBullet"/>
        <w:spacing w:after="60"/>
      </w:pPr>
      <w:r>
        <w:rPr>
          <w:rFonts w:ascii="Cambria" w:hAnsi="Cambria"/>
          <w:b w:val="0"/>
          <w:color w:val="25364D"/>
          <w:sz w:val="16"/>
        </w:rPr>
        <w:t>Likely cause: Customer dependency.</w:t>
      </w:r>
    </w:p>
    <w:p>
      <w:pPr>
        <w:pStyle w:val="ListBullet"/>
        <w:spacing w:after="60"/>
      </w:pPr>
      <w:r>
        <w:rPr>
          <w:rFonts w:ascii="Cambria" w:hAnsi="Cambria"/>
          <w:b w:val="0"/>
          <w:color w:val="25364D"/>
          <w:sz w:val="16"/>
        </w:rPr>
        <w:t>Likely cause: Queue starvation.</w:t>
      </w:r>
    </w:p>
    <w:p>
      <w:pPr>
        <w:pStyle w:val="ListBullet"/>
        <w:spacing w:after="60"/>
      </w:pPr>
      <w:r>
        <w:rPr>
          <w:rFonts w:ascii="Cambria" w:hAnsi="Cambria"/>
          <w:b w:val="0"/>
          <w:color w:val="25364D"/>
          <w:sz w:val="16"/>
        </w:rPr>
        <w:t>Likely cause: Underlying incident.</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Use the platform SLA state as the source of truth.</w:t>
      </w:r>
    </w:p>
    <w:p>
      <w:pPr>
        <w:pStyle w:val="ListBullet"/>
        <w:spacing w:after="60"/>
      </w:pPr>
      <w:r>
        <w:rPr>
          <w:rFonts w:ascii="Cambria" w:hAnsi="Cambria"/>
          <w:b w:val="0"/>
          <w:color w:val="25364D"/>
          <w:sz w:val="16"/>
        </w:rPr>
        <w:t>Do not reset or manually manipulate SLA deadlines without authorized policy change.</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Inspect first-response and resolution SLA separately.</w:t>
      </w:r>
    </w:p>
    <w:p>
      <w:pPr>
        <w:pStyle w:val="ListNumber"/>
        <w:spacing w:after="60"/>
      </w:pPr>
      <w:r>
        <w:rPr>
          <w:rFonts w:ascii="Cambria" w:hAnsi="Cambria"/>
          <w:b w:val="0"/>
          <w:color w:val="25364D"/>
          <w:sz w:val="16"/>
        </w:rPr>
        <w:t>2. Determine whether the ticket is assigned and actively worked.</w:t>
      </w:r>
    </w:p>
    <w:p>
      <w:pPr>
        <w:pStyle w:val="ListNumber"/>
        <w:spacing w:after="60"/>
      </w:pPr>
      <w:r>
        <w:rPr>
          <w:rFonts w:ascii="Cambria" w:hAnsi="Cambria"/>
          <w:b w:val="0"/>
          <w:color w:val="25364D"/>
          <w:sz w:val="16"/>
        </w:rPr>
        <w:t>3. Identify blocker: resolver capacity, customer response, technical dependency or queue condition.</w:t>
      </w:r>
    </w:p>
    <w:p>
      <w:pPr>
        <w:pStyle w:val="ListNumber"/>
        <w:spacing w:after="60"/>
      </w:pPr>
      <w:r>
        <w:rPr>
          <w:rFonts w:ascii="Cambria" w:hAnsi="Cambria"/>
          <w:b w:val="0"/>
          <w:color w:val="25364D"/>
          <w:sz w:val="16"/>
        </w:rPr>
        <w:t>4. Escalate according to priority and SLA policy.</w:t>
      </w:r>
    </w:p>
    <w:p>
      <w:pPr>
        <w:pStyle w:val="ListNumber"/>
        <w:spacing w:after="60"/>
      </w:pPr>
      <w:r>
        <w:rPr>
          <w:rFonts w:ascii="Cambria" w:hAnsi="Cambria"/>
          <w:b w:val="0"/>
          <w:color w:val="25364D"/>
          <w:sz w:val="16"/>
        </w:rPr>
        <w:t>5. Notify customer when an approved service communication is required.</w:t>
      </w:r>
    </w:p>
    <w:p>
      <w:pPr>
        <w:pStyle w:val="ListNumber"/>
        <w:spacing w:after="60"/>
      </w:pPr>
      <w:r>
        <w:rPr>
          <w:rFonts w:ascii="Cambria" w:hAnsi="Cambria"/>
          <w:b w:val="0"/>
          <w:color w:val="25364D"/>
          <w:sz w:val="16"/>
        </w:rPr>
        <w:t>6. Record the mitigation or escalation.</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SLA risk has been reduced or ownership is transferred appropriately.</w:t>
      </w:r>
    </w:p>
    <w:p>
      <w:pPr>
        <w:pStyle w:val="ListBullet"/>
        <w:spacing w:after="60"/>
      </w:pPr>
      <w:r>
        <w:rPr>
          <w:rFonts w:ascii="Cambria" w:hAnsi="Cambria"/>
          <w:b w:val="0"/>
          <w:color w:val="25364D"/>
          <w:sz w:val="16"/>
        </w:rPr>
        <w:t>Customer communication is accurate.</w:t>
      </w:r>
    </w:p>
    <w:p>
      <w:pPr>
        <w:pStyle w:val="ListBullet"/>
        <w:spacing w:after="60"/>
      </w:pPr>
      <w:r>
        <w:rPr>
          <w:rFonts w:ascii="Cambria" w:hAnsi="Cambria"/>
          <w:b w:val="0"/>
          <w:color w:val="25364D"/>
          <w:sz w:val="16"/>
        </w:rPr>
        <w:t>Escalation and audit records are complete.</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Critical breached tickets require immediate operational attention.</w:t>
      </w:r>
    </w:p>
    <w:p>
      <w:pPr>
        <w:pStyle w:val="ListBullet"/>
        <w:spacing w:after="60"/>
      </w:pPr>
      <w:r>
        <w:rPr>
          <w:rFonts w:ascii="Cambria" w:hAnsi="Cambria"/>
          <w:b w:val="0"/>
          <w:color w:val="25364D"/>
          <w:sz w:val="16"/>
        </w:rPr>
        <w:t>Escalate repeated queue-level breaches as a workforce/process problem.</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SLA breach does not automatically mean the ticket is technically unresolved; it means the defined service commitment was missed.</w:t>
            </w:r>
          </w:p>
        </w:tc>
      </w:tr>
    </w:tbl>
    <w:p>
      <w:pPr>
        <w:spacing w:after="20"/>
      </w:pPr>
    </w:p>
    <w:p>
      <w:pPr>
        <w:pStyle w:val="Heading1"/>
        <w:pageBreakBefore/>
        <w:pBdr>
          <w:bottom w:val="single" w:sz="10" w:space="5" w:color="2B67B1"/>
        </w:pBdr>
      </w:pPr>
      <w:r>
        <w:rPr>
          <w:rFonts w:ascii="Cambria" w:hAnsi="Cambria"/>
          <w:b/>
          <w:color w:val="1F4474"/>
          <w:sz w:val="34"/>
        </w:rPr>
        <w:t>16. KB-OPS-003 - Ticket wrongly assigned or needs reassignment</w:t>
      </w:r>
    </w:p>
    <w:p>
      <w:pPr>
        <w:spacing w:after="60" w:line="252" w:lineRule="auto"/>
      </w:pPr>
      <w:r>
        <w:rPr>
          <w:rFonts w:ascii="Cambria" w:hAnsi="Cambria"/>
          <w:b w:val="0"/>
          <w:color w:val="25364D"/>
          <w:sz w:val="18"/>
        </w:rPr>
        <w:t>Use when the ticket is assigned to the wrong resolver/team or requires operational rebalancing.</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KB-OPS-003</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Operations Admin, Operations Manager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Assigned resolver lacks required skills.</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KB-OPS-001, KB-AI-001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Assigned resolver lacks required skills.</w:t>
      </w:r>
    </w:p>
    <w:p>
      <w:pPr>
        <w:pStyle w:val="ListBullet"/>
        <w:spacing w:after="60"/>
      </w:pPr>
      <w:r>
        <w:rPr>
          <w:rFonts w:ascii="Cambria" w:hAnsi="Cambria"/>
          <w:b w:val="0"/>
          <w:color w:val="25364D"/>
          <w:sz w:val="16"/>
        </w:rPr>
        <w:t>Symptom: Team assignment is incorrect.</w:t>
      </w:r>
    </w:p>
    <w:p>
      <w:pPr>
        <w:pStyle w:val="ListBullet"/>
        <w:spacing w:after="60"/>
      </w:pPr>
      <w:r>
        <w:rPr>
          <w:rFonts w:ascii="Cambria" w:hAnsi="Cambria"/>
          <w:b w:val="0"/>
          <w:color w:val="25364D"/>
          <w:sz w:val="16"/>
        </w:rPr>
        <w:t>Symptom: Resolver is overloaded or unavailable.</w:t>
      </w:r>
    </w:p>
    <w:p>
      <w:pPr>
        <w:pStyle w:val="ListBullet"/>
        <w:spacing w:after="60"/>
      </w:pPr>
      <w:r>
        <w:rPr>
          <w:rFonts w:ascii="Cambria" w:hAnsi="Cambria"/>
          <w:b w:val="0"/>
          <w:color w:val="25364D"/>
          <w:sz w:val="16"/>
        </w:rPr>
        <w:t>Likely cause: Classification drift.</w:t>
      </w:r>
    </w:p>
    <w:p>
      <w:pPr>
        <w:pStyle w:val="ListBullet"/>
        <w:spacing w:after="60"/>
      </w:pPr>
      <w:r>
        <w:rPr>
          <w:rFonts w:ascii="Cambria" w:hAnsi="Cambria"/>
          <w:b w:val="0"/>
          <w:color w:val="25364D"/>
          <w:sz w:val="16"/>
        </w:rPr>
        <w:t>Likely cause: Legacy team naming.</w:t>
      </w:r>
    </w:p>
    <w:p>
      <w:pPr>
        <w:pStyle w:val="ListBullet"/>
        <w:spacing w:after="60"/>
      </w:pPr>
      <w:r>
        <w:rPr>
          <w:rFonts w:ascii="Cambria" w:hAnsi="Cambria"/>
          <w:b w:val="0"/>
          <w:color w:val="25364D"/>
          <w:sz w:val="16"/>
        </w:rPr>
        <w:t>Likely cause: Workforce state changed after assignment.</w:t>
      </w:r>
    </w:p>
    <w:p>
      <w:pPr>
        <w:pStyle w:val="ListBullet"/>
        <w:spacing w:after="60"/>
      </w:pPr>
      <w:r>
        <w:rPr>
          <w:rFonts w:ascii="Cambria" w:hAnsi="Cambria"/>
          <w:b w:val="0"/>
          <w:color w:val="25364D"/>
          <w:sz w:val="16"/>
        </w:rPr>
        <w:t>Likely cause: Manual assignment error.</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Keep the original assignment event in the audit trail.</w:t>
      </w:r>
    </w:p>
    <w:p>
      <w:pPr>
        <w:pStyle w:val="ListBullet"/>
        <w:spacing w:after="60"/>
      </w:pPr>
      <w:r>
        <w:rPr>
          <w:rFonts w:ascii="Cambria" w:hAnsi="Cambria"/>
          <w:b w:val="0"/>
          <w:color w:val="25364D"/>
          <w:sz w:val="16"/>
        </w:rPr>
        <w:t>Do not erase assignment history.</w:t>
      </w:r>
    </w:p>
    <w:p>
      <w:pPr>
        <w:pStyle w:val="ListBullet"/>
        <w:spacing w:after="60"/>
      </w:pPr>
      <w:r>
        <w:rPr>
          <w:rFonts w:ascii="Cambria" w:hAnsi="Cambria"/>
          <w:b w:val="0"/>
          <w:color w:val="25364D"/>
          <w:sz w:val="16"/>
        </w:rPr>
        <w:t>Use reassignment with a documented operational reason.</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Open assignment analysis for the ticket.</w:t>
      </w:r>
    </w:p>
    <w:p>
      <w:pPr>
        <w:pStyle w:val="ListNumber"/>
        <w:spacing w:after="60"/>
      </w:pPr>
      <w:r>
        <w:rPr>
          <w:rFonts w:ascii="Cambria" w:hAnsi="Cambria"/>
          <w:b w:val="0"/>
          <w:color w:val="25364D"/>
          <w:sz w:val="16"/>
        </w:rPr>
        <w:t>2. Compare current resolver skills and workload with the ticket requirement.</w:t>
      </w:r>
    </w:p>
    <w:p>
      <w:pPr>
        <w:pStyle w:val="ListNumber"/>
        <w:spacing w:after="60"/>
      </w:pPr>
      <w:r>
        <w:rPr>
          <w:rFonts w:ascii="Cambria" w:hAnsi="Cambria"/>
          <w:b w:val="0"/>
          <w:color w:val="25364D"/>
          <w:sz w:val="16"/>
        </w:rPr>
        <w:t>3. Verify the canonical operational team.</w:t>
      </w:r>
    </w:p>
    <w:p>
      <w:pPr>
        <w:pStyle w:val="ListNumber"/>
        <w:spacing w:after="60"/>
      </w:pPr>
      <w:r>
        <w:rPr>
          <w:rFonts w:ascii="Cambria" w:hAnsi="Cambria"/>
          <w:b w:val="0"/>
          <w:color w:val="25364D"/>
          <w:sz w:val="16"/>
        </w:rPr>
        <w:t>4. Identify the strongest eligible replacement.</w:t>
      </w:r>
    </w:p>
    <w:p>
      <w:pPr>
        <w:pStyle w:val="ListNumber"/>
        <w:spacing w:after="60"/>
      </w:pPr>
      <w:r>
        <w:rPr>
          <w:rFonts w:ascii="Cambria" w:hAnsi="Cambria"/>
          <w:b w:val="0"/>
          <w:color w:val="25364D"/>
          <w:sz w:val="16"/>
        </w:rPr>
        <w:t>5. Reassign through the approved workflow.</w:t>
      </w:r>
    </w:p>
    <w:p>
      <w:pPr>
        <w:pStyle w:val="ListNumber"/>
        <w:spacing w:after="60"/>
      </w:pPr>
      <w:r>
        <w:rPr>
          <w:rFonts w:ascii="Cambria" w:hAnsi="Cambria"/>
          <w:b w:val="0"/>
          <w:color w:val="25364D"/>
          <w:sz w:val="16"/>
        </w:rPr>
        <w:t>6. Confirm the new resolver sees the ticket in their queue.</w:t>
      </w:r>
    </w:p>
    <w:p>
      <w:pPr>
        <w:pStyle w:val="ListNumber"/>
        <w:spacing w:after="60"/>
      </w:pPr>
      <w:r>
        <w:rPr>
          <w:rFonts w:ascii="Cambria" w:hAnsi="Cambria"/>
          <w:b w:val="0"/>
          <w:color w:val="25364D"/>
          <w:sz w:val="16"/>
        </w:rPr>
        <w:t>7. Notify affected parties when notification policy requires it.</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New resolver owns the ticket.</w:t>
      </w:r>
    </w:p>
    <w:p>
      <w:pPr>
        <w:pStyle w:val="ListBullet"/>
        <w:spacing w:after="60"/>
      </w:pPr>
      <w:r>
        <w:rPr>
          <w:rFonts w:ascii="Cambria" w:hAnsi="Cambria"/>
          <w:b w:val="0"/>
          <w:color w:val="25364D"/>
          <w:sz w:val="16"/>
        </w:rPr>
        <w:t>Audit shows previous and new resolver.</w:t>
      </w:r>
    </w:p>
    <w:p>
      <w:pPr>
        <w:pStyle w:val="ListBullet"/>
        <w:spacing w:after="60"/>
      </w:pPr>
      <w:r>
        <w:rPr>
          <w:rFonts w:ascii="Cambria" w:hAnsi="Cambria"/>
          <w:b w:val="0"/>
          <w:color w:val="25364D"/>
          <w:sz w:val="16"/>
        </w:rPr>
        <w:t>No duplicate active work remains.</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repeated misrouting to routing-model/taxonomy ownership.</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Do not correct a routing error by weakening team or skill constraints. Fix the routing signal or use a documented manual override.</w:t>
            </w:r>
          </w:p>
        </w:tc>
      </w:tr>
    </w:tbl>
    <w:p>
      <w:pPr>
        <w:spacing w:after="20"/>
      </w:pPr>
    </w:p>
    <w:p>
      <w:pPr>
        <w:pStyle w:val="Heading1"/>
        <w:pageBreakBefore/>
        <w:pBdr>
          <w:bottom w:val="single" w:sz="10" w:space="5" w:color="2B67B1"/>
        </w:pBdr>
      </w:pPr>
      <w:r>
        <w:rPr>
          <w:rFonts w:ascii="Cambria" w:hAnsi="Cambria"/>
          <w:b/>
          <w:color w:val="1F4474"/>
          <w:sz w:val="34"/>
        </w:rPr>
        <w:t>17. KB-OPS-004 - Escalated ticket requiring operations-manager review</w:t>
      </w:r>
    </w:p>
    <w:p>
      <w:pPr>
        <w:spacing w:after="60" w:line="252" w:lineRule="auto"/>
      </w:pPr>
      <w:r>
        <w:rPr>
          <w:rFonts w:ascii="Cambria" w:hAnsi="Cambria"/>
          <w:b w:val="0"/>
          <w:color w:val="25364D"/>
          <w:sz w:val="18"/>
        </w:rPr>
        <w:t>Use when a ticket has reached an escalation condition or repeated SLA breach and requires management attention.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KB-OPS-004</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Operations Manager, Service Desk</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 to Critical</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Escalation level increased.</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KB-OPS-002, KB-TECH-001, KB-SEC-002</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Escalation level increased.</w:t>
      </w:r>
    </w:p>
    <w:p>
      <w:pPr>
        <w:pStyle w:val="ListBullet"/>
        <w:spacing w:after="60"/>
      </w:pPr>
      <w:r>
        <w:rPr>
          <w:rFonts w:ascii="Cambria" w:hAnsi="Cambria"/>
          <w:b w:val="0"/>
          <w:color w:val="25364D"/>
          <w:sz w:val="16"/>
        </w:rPr>
        <w:t>Symptom: Ticket has repeated SLA breaches or major customer impact.</w:t>
      </w:r>
    </w:p>
    <w:p>
      <w:pPr>
        <w:pStyle w:val="ListBullet"/>
        <w:spacing w:after="60"/>
      </w:pPr>
      <w:r>
        <w:rPr>
          <w:rFonts w:ascii="Cambria" w:hAnsi="Cambria"/>
          <w:b w:val="0"/>
          <w:color w:val="25364D"/>
          <w:sz w:val="16"/>
        </w:rPr>
        <w:t>Likely cause: SLA breach.</w:t>
      </w:r>
    </w:p>
    <w:p>
      <w:pPr>
        <w:pStyle w:val="ListBullet"/>
        <w:spacing w:after="60"/>
      </w:pPr>
      <w:r>
        <w:rPr>
          <w:rFonts w:ascii="Cambria" w:hAnsi="Cambria"/>
          <w:b w:val="0"/>
          <w:color w:val="25364D"/>
          <w:sz w:val="16"/>
        </w:rPr>
        <w:t>Likely cause: Critical priority.</w:t>
      </w:r>
    </w:p>
    <w:p>
      <w:pPr>
        <w:pStyle w:val="ListBullet"/>
        <w:spacing w:after="60"/>
      </w:pPr>
      <w:r>
        <w:rPr>
          <w:rFonts w:ascii="Cambria" w:hAnsi="Cambria"/>
          <w:b w:val="0"/>
          <w:color w:val="25364D"/>
          <w:sz w:val="16"/>
        </w:rPr>
        <w:t>Likely cause: High business impact.</w:t>
      </w:r>
    </w:p>
    <w:p>
      <w:pPr>
        <w:pStyle w:val="ListBullet"/>
        <w:spacing w:after="60"/>
      </w:pPr>
      <w:r>
        <w:rPr>
          <w:rFonts w:ascii="Cambria" w:hAnsi="Cambria"/>
          <w:b w:val="0"/>
          <w:color w:val="25364D"/>
          <w:sz w:val="16"/>
        </w:rPr>
        <w:t>Likely cause: Resolver or team capacity problem.</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Review the complete ticket timeline before making an override decision.</w:t>
      </w:r>
    </w:p>
    <w:p>
      <w:pPr>
        <w:pStyle w:val="ListBullet"/>
        <w:spacing w:after="60"/>
      </w:pPr>
      <w:r>
        <w:rPr>
          <w:rFonts w:ascii="Cambria" w:hAnsi="Cambria"/>
          <w:b w:val="0"/>
          <w:color w:val="25364D"/>
          <w:sz w:val="16"/>
        </w:rPr>
        <w:t>Maintain customer communication discipline.</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Review ticket summary, complaint, priority, SLA, assignment and audit history.</w:t>
      </w:r>
    </w:p>
    <w:p>
      <w:pPr>
        <w:pStyle w:val="ListNumber"/>
        <w:spacing w:after="60"/>
      </w:pPr>
      <w:r>
        <w:rPr>
          <w:rFonts w:ascii="Cambria" w:hAnsi="Cambria"/>
          <w:b w:val="0"/>
          <w:color w:val="25364D"/>
          <w:sz w:val="16"/>
        </w:rPr>
        <w:t>2. Confirm whether the escalation owner is correct.</w:t>
      </w:r>
    </w:p>
    <w:p>
      <w:pPr>
        <w:pStyle w:val="ListNumber"/>
        <w:spacing w:after="60"/>
      </w:pPr>
      <w:r>
        <w:rPr>
          <w:rFonts w:ascii="Cambria" w:hAnsi="Cambria"/>
          <w:b w:val="0"/>
          <w:color w:val="25364D"/>
          <w:sz w:val="16"/>
        </w:rPr>
        <w:t>3. Decide whether to reassign, increase capacity, engage another team or declare/associate an incident.</w:t>
      </w:r>
    </w:p>
    <w:p>
      <w:pPr>
        <w:pStyle w:val="ListNumber"/>
        <w:spacing w:after="60"/>
      </w:pPr>
      <w:r>
        <w:rPr>
          <w:rFonts w:ascii="Cambria" w:hAnsi="Cambria"/>
          <w:b w:val="0"/>
          <w:color w:val="25364D"/>
          <w:sz w:val="16"/>
        </w:rPr>
        <w:t>4. Record management decision and owner.</w:t>
      </w:r>
    </w:p>
    <w:p>
      <w:pPr>
        <w:pStyle w:val="ListNumber"/>
        <w:spacing w:after="60"/>
      </w:pPr>
      <w:r>
        <w:rPr>
          <w:rFonts w:ascii="Cambria" w:hAnsi="Cambria"/>
          <w:b w:val="0"/>
          <w:color w:val="25364D"/>
          <w:sz w:val="16"/>
        </w:rPr>
        <w:t>5. Ensure the resolver and customer receive required notifications.</w:t>
      </w:r>
    </w:p>
    <w:p>
      <w:pPr>
        <w:pStyle w:val="ListNumber"/>
        <w:spacing w:after="60"/>
      </w:pPr>
      <w:r>
        <w:rPr>
          <w:rFonts w:ascii="Cambria" w:hAnsi="Cambria"/>
          <w:b w:val="0"/>
          <w:color w:val="25364D"/>
          <w:sz w:val="16"/>
        </w:rPr>
        <w:t>6. Continue monitoring until the risk is closed.</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Escalation owner is identified.</w:t>
      </w:r>
    </w:p>
    <w:p>
      <w:pPr>
        <w:pStyle w:val="ListBullet"/>
        <w:spacing w:after="60"/>
      </w:pPr>
      <w:r>
        <w:rPr>
          <w:rFonts w:ascii="Cambria" w:hAnsi="Cambria"/>
          <w:b w:val="0"/>
          <w:color w:val="25364D"/>
          <w:sz w:val="16"/>
        </w:rPr>
        <w:t>Decision and actions are documented.</w:t>
      </w:r>
    </w:p>
    <w:p>
      <w:pPr>
        <w:pStyle w:val="ListBullet"/>
        <w:spacing w:after="60"/>
      </w:pPr>
      <w:r>
        <w:rPr>
          <w:rFonts w:ascii="Cambria" w:hAnsi="Cambria"/>
          <w:b w:val="0"/>
          <w:color w:val="25364D"/>
          <w:sz w:val="16"/>
        </w:rPr>
        <w:t>SLA and customer-impact risk are actively managed.</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to incident/security/privacy governance when the issue exceeds service-desk authority.</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Escalation should change the operational response, not merely change a numeric level.</w:t>
            </w:r>
          </w:p>
        </w:tc>
      </w:tr>
    </w:tbl>
    <w:p>
      <w:pPr>
        <w:spacing w:after="20"/>
      </w:pPr>
    </w:p>
    <w:p>
      <w:pPr>
        <w:pStyle w:val="Heading1"/>
        <w:pageBreakBefore/>
        <w:pBdr>
          <w:bottom w:val="single" w:sz="10" w:space="5" w:color="2B67B1"/>
        </w:pBdr>
      </w:pPr>
      <w:r>
        <w:rPr>
          <w:rFonts w:ascii="Cambria" w:hAnsi="Cambria"/>
          <w:b/>
          <w:color w:val="1F4474"/>
          <w:sz w:val="34"/>
        </w:rPr>
        <w:t>18. KB-AI-001 - Using the AI resolution recommendation safely</w:t>
      </w:r>
    </w:p>
    <w:p>
      <w:pPr>
        <w:spacing w:after="60" w:line="252" w:lineRule="auto"/>
      </w:pPr>
      <w:r>
        <w:rPr>
          <w:rFonts w:ascii="Cambria" w:hAnsi="Cambria"/>
          <w:b w:val="0"/>
          <w:color w:val="25364D"/>
          <w:sz w:val="18"/>
        </w:rPr>
        <w:t>Use when a resolver requests AI-generated investigation and resolution guidance.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KB-AI-001</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Operations Manager</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Assistive / advisory</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Ticket is active and requires troubleshooting guidance.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KB-AI-002, KB-SEC-001</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Ticket is active and requires troubleshooting guidance.</w:t>
      </w:r>
    </w:p>
    <w:p>
      <w:pPr>
        <w:pStyle w:val="ListBullet"/>
        <w:spacing w:after="60"/>
      </w:pPr>
      <w:r>
        <w:rPr>
          <w:rFonts w:ascii="Cambria" w:hAnsi="Cambria"/>
          <w:b w:val="0"/>
          <w:color w:val="25364D"/>
          <w:sz w:val="16"/>
        </w:rPr>
        <w:t>Symptom: Resolver wants a recommended investigation path.</w:t>
      </w:r>
    </w:p>
    <w:p>
      <w:pPr>
        <w:pStyle w:val="ListBullet"/>
        <w:spacing w:after="60"/>
      </w:pPr>
      <w:r>
        <w:rPr>
          <w:rFonts w:ascii="Cambria" w:hAnsi="Cambria"/>
          <w:b w:val="0"/>
          <w:color w:val="25364D"/>
          <w:sz w:val="16"/>
        </w:rPr>
        <w:t>Likely cause: Complex or unfamiliar issue.</w:t>
      </w:r>
    </w:p>
    <w:p>
      <w:pPr>
        <w:pStyle w:val="ListBullet"/>
        <w:spacing w:after="60"/>
      </w:pPr>
      <w:r>
        <w:rPr>
          <w:rFonts w:ascii="Cambria" w:hAnsi="Cambria"/>
          <w:b w:val="0"/>
          <w:color w:val="25364D"/>
          <w:sz w:val="16"/>
        </w:rPr>
        <w:t>Likely cause: Need to synthesize ticket context and prior cases quickly.</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AI output is advisory, not proof.</w:t>
      </w:r>
    </w:p>
    <w:p>
      <w:pPr>
        <w:pStyle w:val="ListBullet"/>
        <w:spacing w:after="60"/>
      </w:pPr>
      <w:r>
        <w:rPr>
          <w:rFonts w:ascii="Cambria" w:hAnsi="Cambria"/>
          <w:b w:val="0"/>
          <w:color w:val="25364D"/>
          <w:sz w:val="16"/>
        </w:rPr>
        <w:t>Never treat AI output as evidence that a system action succeeded.</w:t>
      </w:r>
    </w:p>
    <w:p>
      <w:pPr>
        <w:pStyle w:val="ListBullet"/>
        <w:spacing w:after="60"/>
      </w:pPr>
      <w:r>
        <w:rPr>
          <w:rFonts w:ascii="Cambria" w:hAnsi="Cambria"/>
          <w:b w:val="0"/>
          <w:color w:val="25364D"/>
          <w:sz w:val="16"/>
        </w:rPr>
        <w:t>Use approved system data, KB guidance and historical cases to validate recommendations.</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Review ticket context before generating the recommendation.</w:t>
      </w:r>
    </w:p>
    <w:p>
      <w:pPr>
        <w:pStyle w:val="ListNumber"/>
        <w:spacing w:after="60"/>
      </w:pPr>
      <w:r>
        <w:rPr>
          <w:rFonts w:ascii="Cambria" w:hAnsi="Cambria"/>
          <w:b w:val="0"/>
          <w:color w:val="25364D"/>
          <w:sz w:val="16"/>
        </w:rPr>
        <w:t>2. Generate the AI recommendation.</w:t>
      </w:r>
    </w:p>
    <w:p>
      <w:pPr>
        <w:pStyle w:val="ListNumber"/>
        <w:spacing w:after="60"/>
      </w:pPr>
      <w:r>
        <w:rPr>
          <w:rFonts w:ascii="Cambria" w:hAnsi="Cambria"/>
          <w:b w:val="0"/>
          <w:color w:val="25364D"/>
          <w:sz w:val="16"/>
        </w:rPr>
        <w:t>3. Compare the recommendation with approved KB/SOP procedures.</w:t>
      </w:r>
    </w:p>
    <w:p>
      <w:pPr>
        <w:pStyle w:val="ListNumber"/>
        <w:spacing w:after="60"/>
      </w:pPr>
      <w:r>
        <w:rPr>
          <w:rFonts w:ascii="Cambria" w:hAnsi="Cambria"/>
          <w:b w:val="0"/>
          <w:color w:val="25364D"/>
          <w:sz w:val="16"/>
        </w:rPr>
        <w:t>4. Check similar resolved cases for precedent and differences.</w:t>
      </w:r>
    </w:p>
    <w:p>
      <w:pPr>
        <w:pStyle w:val="ListNumber"/>
        <w:spacing w:after="60"/>
      </w:pPr>
      <w:r>
        <w:rPr>
          <w:rFonts w:ascii="Cambria" w:hAnsi="Cambria"/>
          <w:b w:val="0"/>
          <w:color w:val="25364D"/>
          <w:sz w:val="16"/>
        </w:rPr>
        <w:t>5. Execute only approved actions.</w:t>
      </w:r>
    </w:p>
    <w:p>
      <w:pPr>
        <w:pStyle w:val="ListNumber"/>
        <w:spacing w:after="60"/>
      </w:pPr>
      <w:r>
        <w:rPr>
          <w:rFonts w:ascii="Cambria" w:hAnsi="Cambria"/>
          <w:b w:val="0"/>
          <w:color w:val="25364D"/>
          <w:sz w:val="16"/>
        </w:rPr>
        <w:t>6. Record material remediation in the ticket.</w:t>
      </w:r>
    </w:p>
    <w:p>
      <w:pPr>
        <w:pStyle w:val="ListNumber"/>
        <w:spacing w:after="60"/>
      </w:pPr>
      <w:r>
        <w:rPr>
          <w:rFonts w:ascii="Cambria" w:hAnsi="Cambria"/>
          <w:b w:val="0"/>
          <w:color w:val="25364D"/>
          <w:sz w:val="16"/>
        </w:rPr>
        <w:t>7. Re-run or refine the recommendation only when new evidence changes the diagnosis.</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Resolver validates the recommendation against real system evidence.</w:t>
      </w:r>
    </w:p>
    <w:p>
      <w:pPr>
        <w:pStyle w:val="ListBullet"/>
        <w:spacing w:after="60"/>
      </w:pPr>
      <w:r>
        <w:rPr>
          <w:rFonts w:ascii="Cambria" w:hAnsi="Cambria"/>
          <w:b w:val="0"/>
          <w:color w:val="25364D"/>
          <w:sz w:val="16"/>
        </w:rPr>
        <w:t>Resolution steps are documented.</w:t>
      </w:r>
    </w:p>
    <w:p>
      <w:pPr>
        <w:pStyle w:val="ListBullet"/>
        <w:spacing w:after="60"/>
      </w:pPr>
      <w:r>
        <w:rPr>
          <w:rFonts w:ascii="Cambria" w:hAnsi="Cambria"/>
          <w:b w:val="0"/>
          <w:color w:val="25364D"/>
          <w:sz w:val="16"/>
        </w:rPr>
        <w:t>Customer response does not contain unverified technical claims.</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when AI advice conflicts with policy, evidence or security controls.</w:t>
      </w:r>
    </w:p>
    <w:p>
      <w:pPr>
        <w:pStyle w:val="ListBullet"/>
        <w:spacing w:after="60"/>
      </w:pPr>
      <w:r>
        <w:rPr>
          <w:rFonts w:ascii="Cambria" w:hAnsi="Cambria"/>
          <w:b w:val="0"/>
          <w:color w:val="25364D"/>
          <w:sz w:val="16"/>
        </w:rPr>
        <w:t>Escalate high-risk actions rather than treating AI confidence as authorization.</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AI should narrow investigation effort, not replace operational accountability.</w:t>
            </w:r>
          </w:p>
        </w:tc>
      </w:tr>
    </w:tbl>
    <w:p>
      <w:pPr>
        <w:spacing w:after="20"/>
      </w:pPr>
    </w:p>
    <w:p>
      <w:pPr>
        <w:pStyle w:val="Heading1"/>
        <w:pageBreakBefore/>
        <w:pBdr>
          <w:bottom w:val="single" w:sz="10" w:space="5" w:color="2B67B1"/>
        </w:pBdr>
      </w:pPr>
      <w:r>
        <w:rPr>
          <w:rFonts w:ascii="Cambria" w:hAnsi="Cambria"/>
          <w:b/>
          <w:color w:val="1F4474"/>
          <w:sz w:val="34"/>
        </w:rPr>
        <w:t>19. KB-AI-002 - Using similar resolved tickets as precedent</w:t>
      </w:r>
    </w:p>
    <w:p>
      <w:pPr>
        <w:spacing w:after="60" w:line="252" w:lineRule="auto"/>
      </w:pPr>
      <w:r>
        <w:rPr>
          <w:rFonts w:ascii="Cambria" w:hAnsi="Cambria"/>
          <w:b w:val="0"/>
          <w:color w:val="25364D"/>
          <w:sz w:val="18"/>
        </w:rPr>
        <w:t>Use when the resolver wants historical examples before deciding how to resolve a current complaint.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44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734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Value</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ID</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KB-AI-002</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Service Desk</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Severity / Priority</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Assistive / advisory</w:t>
            </w:r>
          </w:p>
        </w:tc>
      </w:tr>
      <w:tr>
        <w:tc>
          <w:tcPr>
            <w:tcW w:type="dxa" w:w="244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Applies when</w:t>
            </w:r>
          </w:p>
        </w:tc>
        <w:tc>
          <w:tcPr>
            <w:tcW w:type="dxa" w:w="734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The platform returns one or more similar RESOLVED/CLOSED cases.</w:t>
            </w:r>
          </w:p>
        </w:tc>
      </w:tr>
      <w:tr>
        <w:tc>
          <w:tcPr>
            <w:tcW w:type="dxa" w:w="244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 articles</w:t>
            </w:r>
          </w:p>
        </w:tc>
        <w:tc>
          <w:tcPr>
            <w:tcW w:type="dxa" w:w="734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KB-AI-001, KB-OPS-003</w:t>
            </w:r>
          </w:p>
        </w:tc>
      </w:tr>
    </w:tbl>
    <w:p>
      <w:pPr>
        <w:spacing w:after="20"/>
      </w:pPr>
    </w:p>
    <w:p>
      <w:pPr>
        <w:pStyle w:val="Heading2"/>
      </w:pPr>
      <w:r>
        <w:rPr>
          <w:rFonts w:ascii="Cambria" w:hAnsi="Cambria"/>
          <w:b/>
          <w:color w:val="2B67B1"/>
          <w:sz w:val="26"/>
        </w:rPr>
        <w:t>Resolution context</w:t>
      </w:r>
    </w:p>
    <w:p>
      <w:pPr>
        <w:pStyle w:val="ListBullet"/>
        <w:spacing w:after="60"/>
      </w:pPr>
      <w:r>
        <w:rPr>
          <w:rFonts w:ascii="Cambria" w:hAnsi="Cambria"/>
          <w:b w:val="0"/>
          <w:color w:val="25364D"/>
          <w:sz w:val="16"/>
        </w:rPr>
        <w:t>Symptom: The platform returns one or more similar RESOLVED/CLOSED cases.</w:t>
      </w:r>
    </w:p>
    <w:p>
      <w:pPr>
        <w:pStyle w:val="ListBullet"/>
        <w:spacing w:after="60"/>
      </w:pPr>
      <w:r>
        <w:rPr>
          <w:rFonts w:ascii="Cambria" w:hAnsi="Cambria"/>
          <w:b w:val="0"/>
          <w:color w:val="25364D"/>
          <w:sz w:val="16"/>
        </w:rPr>
        <w:t>Likely cause: Repeated complaint pattern.</w:t>
      </w:r>
    </w:p>
    <w:p>
      <w:pPr>
        <w:pStyle w:val="ListBullet"/>
        <w:spacing w:after="60"/>
      </w:pPr>
      <w:r>
        <w:rPr>
          <w:rFonts w:ascii="Cambria" w:hAnsi="Cambria"/>
          <w:b w:val="0"/>
          <w:color w:val="25364D"/>
          <w:sz w:val="16"/>
        </w:rPr>
        <w:t>Likely cause: Known operational symptom.</w:t>
      </w:r>
    </w:p>
    <w:p>
      <w:pPr>
        <w:pStyle w:val="ListBullet"/>
        <w:spacing w:after="60"/>
      </w:pPr>
      <w:r>
        <w:rPr>
          <w:rFonts w:ascii="Cambria" w:hAnsi="Cambria"/>
          <w:b w:val="0"/>
          <w:color w:val="25364D"/>
          <w:sz w:val="16"/>
        </w:rPr>
        <w:t>Likely cause: Need for prior successful remediation pattern.</w:t>
      </w:r>
    </w:p>
    <w:p>
      <w:pPr>
        <w:pStyle w:val="Heading2"/>
      </w:pPr>
      <w:r>
        <w:rPr>
          <w:rFonts w:ascii="Cambria" w:hAnsi="Cambria"/>
          <w:b/>
          <w:color w:val="2B67B1"/>
          <w:sz w:val="26"/>
        </w:rPr>
        <w:t>Prerequisites and guardrails</w:t>
      </w:r>
    </w:p>
    <w:p>
      <w:pPr>
        <w:pStyle w:val="ListBullet"/>
        <w:spacing w:after="60"/>
      </w:pPr>
      <w:r>
        <w:rPr>
          <w:rFonts w:ascii="Cambria" w:hAnsi="Cambria"/>
          <w:b w:val="0"/>
          <w:color w:val="25364D"/>
          <w:sz w:val="16"/>
        </w:rPr>
        <w:t>Similarity is evidence for consideration, not a guarantee that two incidents have the same root cause.</w:t>
      </w:r>
    </w:p>
    <w:p>
      <w:pPr>
        <w:pStyle w:val="ListBullet"/>
        <w:spacing w:after="60"/>
      </w:pPr>
      <w:r>
        <w:rPr>
          <w:rFonts w:ascii="Cambria" w:hAnsi="Cambria"/>
          <w:b w:val="0"/>
          <w:color w:val="25364D"/>
          <w:sz w:val="16"/>
        </w:rPr>
        <w:t>Compare customer context, environment, version, timing and business impact.</w:t>
      </w:r>
    </w:p>
    <w:p>
      <w:pPr>
        <w:pStyle w:val="Heading2"/>
      </w:pPr>
      <w:r>
        <w:rPr>
          <w:rFonts w:ascii="Cambria" w:hAnsi="Cambria"/>
          <w:b/>
          <w:color w:val="2B67B1"/>
          <w:sz w:val="26"/>
        </w:rPr>
        <w:t>Resolution procedure</w:t>
      </w:r>
    </w:p>
    <w:p>
      <w:pPr>
        <w:pStyle w:val="ListNumber"/>
        <w:spacing w:after="60"/>
      </w:pPr>
      <w:r>
        <w:rPr>
          <w:rFonts w:ascii="Cambria" w:hAnsi="Cambria"/>
          <w:b w:val="0"/>
          <w:color w:val="25364D"/>
          <w:sz w:val="16"/>
        </w:rPr>
        <w:t>1. Review the top similar cases.</w:t>
      </w:r>
    </w:p>
    <w:p>
      <w:pPr>
        <w:pStyle w:val="ListNumber"/>
        <w:spacing w:after="60"/>
      </w:pPr>
      <w:r>
        <w:rPr>
          <w:rFonts w:ascii="Cambria" w:hAnsi="Cambria"/>
          <w:b w:val="0"/>
          <w:color w:val="25364D"/>
          <w:sz w:val="16"/>
        </w:rPr>
        <w:t>2. Compare symptom and category alignment.</w:t>
      </w:r>
    </w:p>
    <w:p>
      <w:pPr>
        <w:pStyle w:val="ListNumber"/>
        <w:spacing w:after="60"/>
      </w:pPr>
      <w:r>
        <w:rPr>
          <w:rFonts w:ascii="Cambria" w:hAnsi="Cambria"/>
          <w:b w:val="0"/>
          <w:color w:val="25364D"/>
          <w:sz w:val="16"/>
        </w:rPr>
        <w:t>3. Identify the resolution pattern that was successful.</w:t>
      </w:r>
    </w:p>
    <w:p>
      <w:pPr>
        <w:pStyle w:val="ListNumber"/>
        <w:spacing w:after="60"/>
      </w:pPr>
      <w:r>
        <w:rPr>
          <w:rFonts w:ascii="Cambria" w:hAnsi="Cambria"/>
          <w:b w:val="0"/>
          <w:color w:val="25364D"/>
          <w:sz w:val="16"/>
        </w:rPr>
        <w:t>4. Check whether the original conditions are still valid.</w:t>
      </w:r>
    </w:p>
    <w:p>
      <w:pPr>
        <w:pStyle w:val="ListNumber"/>
        <w:spacing w:after="60"/>
      </w:pPr>
      <w:r>
        <w:rPr>
          <w:rFonts w:ascii="Cambria" w:hAnsi="Cambria"/>
          <w:b w:val="0"/>
          <w:color w:val="25364D"/>
          <w:sz w:val="16"/>
        </w:rPr>
        <w:t>5. Reuse safe troubleshooting steps when applicable.</w:t>
      </w:r>
    </w:p>
    <w:p>
      <w:pPr>
        <w:pStyle w:val="ListNumber"/>
        <w:spacing w:after="60"/>
      </w:pPr>
      <w:r>
        <w:rPr>
          <w:rFonts w:ascii="Cambria" w:hAnsi="Cambria"/>
          <w:b w:val="0"/>
          <w:color w:val="25364D"/>
          <w:sz w:val="16"/>
        </w:rPr>
        <w:t>6. Document deviations when the current ticket differs from precedent.</w:t>
      </w:r>
    </w:p>
    <w:p>
      <w:pPr>
        <w:pStyle w:val="Heading2"/>
      </w:pPr>
      <w:r>
        <w:rPr>
          <w:rFonts w:ascii="Cambria" w:hAnsi="Cambria"/>
          <w:b/>
          <w:color w:val="2B67B1"/>
          <w:sz w:val="26"/>
        </w:rPr>
        <w:t>Validation and closure criteria</w:t>
      </w:r>
    </w:p>
    <w:p>
      <w:pPr>
        <w:pStyle w:val="ListBullet"/>
        <w:spacing w:after="60"/>
      </w:pPr>
      <w:r>
        <w:rPr>
          <w:rFonts w:ascii="Cambria" w:hAnsi="Cambria"/>
          <w:b w:val="0"/>
          <w:color w:val="25364D"/>
          <w:sz w:val="16"/>
        </w:rPr>
        <w:t>Chosen remediation is validated against current evidence.</w:t>
      </w:r>
    </w:p>
    <w:p>
      <w:pPr>
        <w:pStyle w:val="ListBullet"/>
        <w:spacing w:after="60"/>
      </w:pPr>
      <w:r>
        <w:rPr>
          <w:rFonts w:ascii="Cambria" w:hAnsi="Cambria"/>
          <w:b w:val="0"/>
          <w:color w:val="25364D"/>
          <w:sz w:val="16"/>
        </w:rPr>
        <w:t>Historical precedent is referenced where useful.</w:t>
      </w:r>
    </w:p>
    <w:p>
      <w:pPr>
        <w:pStyle w:val="Heading2"/>
      </w:pPr>
      <w:r>
        <w:rPr>
          <w:rFonts w:ascii="Cambria" w:hAnsi="Cambria"/>
          <w:b/>
          <w:color w:val="2B67B1"/>
          <w:sz w:val="26"/>
        </w:rPr>
        <w:t>Escalation</w:t>
      </w:r>
    </w:p>
    <w:p>
      <w:pPr>
        <w:pStyle w:val="ListBullet"/>
        <w:spacing w:after="60"/>
      </w:pPr>
      <w:r>
        <w:rPr>
          <w:rFonts w:ascii="Cambria" w:hAnsi="Cambria"/>
          <w:b w:val="0"/>
          <w:color w:val="25364D"/>
          <w:sz w:val="16"/>
        </w:rPr>
        <w:t>Escalate if historical precedent conflicts with current platform behavior or security policy.</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OPERATOR NOTE</w:t>
            </w:r>
            <w:r>
              <w:rPr>
                <w:rFonts w:ascii="Cambria" w:hAnsi="Cambria"/>
                <w:b w:val="0"/>
                <w:color w:val="25364D"/>
                <w:sz w:val="17"/>
              </w:rPr>
              <w:br/>
              <w:t>Prefer approved historical patterns over generic internet advice, but do not blindly replay old actions.</w:t>
            </w:r>
          </w:p>
        </w:tc>
      </w:tr>
    </w:tbl>
    <w:p>
      <w:pPr>
        <w:spacing w:after="20"/>
      </w:pPr>
    </w:p>
    <w:p>
      <w:pPr>
        <w:pStyle w:val="Heading1"/>
        <w:pBdr>
          <w:bottom w:val="single" w:sz="10" w:space="5" w:color="2B67B1"/>
        </w:pBdr>
      </w:pPr>
      <w:r>
        <w:rPr>
          <w:rFonts w:ascii="Cambria" w:hAnsi="Cambria"/>
          <w:b/>
          <w:color w:val="1F4474"/>
          <w:sz w:val="34"/>
        </w:rPr>
        <w:t>20. Operational Playbook - Assignment Troubleshooting Matrix</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23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Observed condition</w:t>
            </w:r>
          </w:p>
        </w:tc>
        <w:tc>
          <w:tcPr>
            <w:tcW w:type="dxa" w:w="302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Automatic routing outcome</w:t>
            </w:r>
          </w:p>
        </w:tc>
        <w:tc>
          <w:tcPr>
            <w:tcW w:type="dxa" w:w="316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Admin action</w:t>
            </w:r>
          </w:p>
        </w:tc>
        <w:tc>
          <w:tcPr>
            <w:tcW w:type="dxa" w:w="187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What not to do</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No eligible resolver</w:t>
            </w:r>
          </w:p>
        </w:tc>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Ticket remains OPEN/unassigned</w:t>
            </w:r>
          </w:p>
        </w:tc>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Review assignment analysis; assign manually if policy allows</w:t>
            </w:r>
          </w:p>
        </w:tc>
        <w:tc>
          <w:tcPr>
            <w:tcW w:type="dxa" w:w="187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weaken team boundary globally</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Correct team, wrong skills</w:t>
            </w:r>
          </w:p>
        </w:tc>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Candidate filtered or scored low</w:t>
            </w:r>
          </w:p>
        </w:tc>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Select a qualified resolver or correct taxonomy</w:t>
            </w:r>
          </w:p>
        </w:tc>
        <w:tc>
          <w:tcPr>
            <w:tcW w:type="dxa" w:w="187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assign unrelated specialist just to clear queue</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Resolver at capacity</w:t>
            </w:r>
          </w:p>
        </w:tc>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Automatic candidate rejected or penalized</w:t>
            </w:r>
          </w:p>
        </w:tc>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Rebalance workload or use documented override</w:t>
            </w:r>
          </w:p>
        </w:tc>
        <w:tc>
          <w:tcPr>
            <w:tcW w:type="dxa" w:w="187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silently exceed capacity</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Outside working shift</w:t>
            </w:r>
          </w:p>
        </w:tc>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Normal routing rejects candidate</w:t>
            </w:r>
          </w:p>
        </w:tc>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Use eligible resolver or approved on-call path</w:t>
            </w:r>
          </w:p>
        </w:tc>
        <w:tc>
          <w:tcPr>
            <w:tcW w:type="dxa" w:w="187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assume AVAILABLE means currently on shift</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Critical + no normal resolver</w:t>
            </w:r>
          </w:p>
        </w:tc>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On-call fallback may engage</w:t>
            </w:r>
          </w:p>
        </w:tc>
        <w:tc>
          <w:tcPr>
            <w:tcW w:type="dxa" w:w="316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Review emergency coverage and escalation</w:t>
            </w:r>
          </w:p>
        </w:tc>
        <w:tc>
          <w:tcPr>
            <w:tcW w:type="dxa" w:w="187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treat on-call as normal queue</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Legacy team label</w:t>
            </w:r>
          </w:p>
        </w:tc>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Canonical team mapping resolves it</w:t>
            </w:r>
          </w:p>
        </w:tc>
        <w:tc>
          <w:tcPr>
            <w:tcW w:type="dxa" w:w="316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Confirm operational team before manual assignment</w:t>
            </w:r>
          </w:p>
        </w:tc>
        <w:tc>
          <w:tcPr>
            <w:tcW w:type="dxa" w:w="187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Do not create duplicate teams for spelling variants</w:t>
            </w:r>
          </w:p>
        </w:tc>
      </w:tr>
    </w:tbl>
    <w:p>
      <w:pPr>
        <w:spacing w:after="20"/>
      </w:pPr>
    </w:p>
    <w:p>
      <w:pPr>
        <w:pStyle w:val="Heading2"/>
      </w:pPr>
      <w:r>
        <w:rPr>
          <w:rFonts w:ascii="Cambria" w:hAnsi="Cambria"/>
          <w:b/>
          <w:color w:val="2B67B1"/>
          <w:sz w:val="26"/>
        </w:rPr>
        <w:t>20.1 Workforce interpretation</w:t>
      </w:r>
    </w:p>
    <w:p>
      <w:pPr>
        <w:pStyle w:val="ListBullet"/>
        <w:spacing w:after="60"/>
      </w:pPr>
      <w:r>
        <w:rPr>
          <w:rFonts w:ascii="Cambria" w:hAnsi="Cambria"/>
          <w:b w:val="0"/>
          <w:color w:val="25364D"/>
          <w:sz w:val="16"/>
        </w:rPr>
        <w:t>AVAILABLE is a status; it does not necessarily mean the resolver is in an active shift.</w:t>
      </w:r>
    </w:p>
    <w:p>
      <w:pPr>
        <w:pStyle w:val="ListBullet"/>
        <w:spacing w:after="60"/>
      </w:pPr>
      <w:r>
        <w:rPr>
          <w:rFonts w:ascii="Cambria" w:hAnsi="Cambria"/>
          <w:b w:val="0"/>
          <w:color w:val="25364D"/>
          <w:sz w:val="16"/>
        </w:rPr>
        <w:t>eligible_for_assignment is the final workforce decision for automatic routing.</w:t>
      </w:r>
    </w:p>
    <w:p>
      <w:pPr>
        <w:pStyle w:val="ListBullet"/>
        <w:spacing w:after="60"/>
      </w:pPr>
      <w:r>
        <w:rPr>
          <w:rFonts w:ascii="Cambria" w:hAnsi="Cambria"/>
          <w:b w:val="0"/>
          <w:color w:val="25364D"/>
          <w:sz w:val="16"/>
        </w:rPr>
        <w:t>capacity_available and utilization must be interpreted together with active-ticket count.</w:t>
      </w:r>
    </w:p>
    <w:p>
      <w:pPr>
        <w:pStyle w:val="ListBullet"/>
        <w:spacing w:after="60"/>
      </w:pPr>
      <w:r>
        <w:rPr>
          <w:rFonts w:ascii="Cambria" w:hAnsi="Cambria"/>
          <w:b w:val="0"/>
          <w:color w:val="25364D"/>
          <w:sz w:val="16"/>
        </w:rPr>
        <w:t>effective workload may be higher than raw ticket count because priority weighting is part of routing intelligence.</w:t>
      </w:r>
    </w:p>
    <w:tbl>
      <w:tblPr>
        <w:tblW w:type="auto" w:w="0"/>
        <w:jc w:val="center"/>
        <w:tblLook w:firstColumn="1" w:firstRow="1" w:lastColumn="0" w:lastRow="0" w:noHBand="0" w:noVBand="1" w:val="04A0"/>
      </w:tblPr>
      <w:tblGrid>
        <w:gridCol w:w="10454"/>
      </w:tblGrid>
      <w:tr>
        <w:tc>
          <w:tcPr>
            <w:tcW w:type="dxa" w:w="10454"/>
            <w:shd w:fill="EEF3F8"/>
            <w:tcBorders>
              <w:top w:val="single" w:sz="9" w:space="0" w:color="2B67B1"/>
              <w:left w:val="single" w:sz="9" w:space="0" w:color="2B67B1"/>
              <w:bottom w:val="single" w:sz="9" w:space="0" w:color="2B67B1"/>
              <w:right w:val="single" w:sz="9" w:space="0" w:color="2B67B1"/>
              <w:insideH w:val="single" w:sz="9" w:space="0" w:color="2B67B1"/>
              <w:insideV w:val="single" w:sz="9" w:space="0" w:color="2B67B1"/>
            </w:tcBorders>
            <w:tcMar>
              <w:top w:w="100" w:type="dxa"/>
              <w:start w:w="120" w:type="dxa"/>
              <w:bottom w:w="100" w:type="dxa"/>
              <w:end w:w="120" w:type="dxa"/>
            </w:tcMar>
          </w:tcPr>
          <w:p>
            <w:r>
              <w:rPr>
                <w:rFonts w:ascii="Cambria" w:hAnsi="Cambria"/>
                <w:b/>
                <w:color w:val="1F4474"/>
                <w:sz w:val="16"/>
              </w:rPr>
              <w:t>OPERATIONAL PATTERN</w:t>
            </w:r>
            <w:r>
              <w:rPr>
                <w:rFonts w:ascii="Cambria" w:hAnsi="Cambria"/>
                <w:b w:val="0"/>
                <w:color w:val="25364D"/>
                <w:sz w:val="17"/>
              </w:rPr>
              <w:br/>
              <w:t>When automatic routing skips a ticket, the administrator should be told the specific constraint, not only the phrase “No eligible resolver.” The message should identify team, workforce and capacity causes so manual action is explainable.</w:t>
            </w:r>
          </w:p>
        </w:tc>
      </w:tr>
    </w:tbl>
    <w:p>
      <w:pPr>
        <w:spacing w:after="20"/>
      </w:pPr>
    </w:p>
    <w:p>
      <w:r>
        <w:br w:type="page"/>
      </w:r>
    </w:p>
    <w:p>
      <w:pPr>
        <w:pStyle w:val="Heading1"/>
        <w:pBdr>
          <w:bottom w:val="single" w:sz="10" w:space="5" w:color="2B67B1"/>
        </w:pBdr>
      </w:pPr>
      <w:r>
        <w:rPr>
          <w:rFonts w:ascii="Cambria" w:hAnsi="Cambria"/>
          <w:b/>
          <w:color w:val="1F4474"/>
          <w:sz w:val="34"/>
        </w:rPr>
        <w:t>21. Operational Playbook - SLA and Escalation</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30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Situation</w:t>
            </w:r>
          </w:p>
        </w:tc>
        <w:tc>
          <w:tcPr>
            <w:tcW w:type="dxa" w:w="338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Immediate action</w:t>
            </w:r>
          </w:p>
        </w:tc>
        <w:tc>
          <w:tcPr>
            <w:tcW w:type="dxa" w:w="252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Escalation path</w:t>
            </w:r>
          </w:p>
        </w:tc>
        <w:tc>
          <w:tcPr>
            <w:tcW w:type="dxa" w:w="230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Evidence to record</w:t>
            </w:r>
          </w:p>
        </w:tc>
      </w:tr>
      <w:tr>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 ticket created</w:t>
            </w:r>
          </w:p>
        </w:tc>
        <w:tc>
          <w:tcPr>
            <w:tcW w:type="dxa" w:w="33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Confirm team and resolver; monitor first-response SLA</w:t>
            </w:r>
          </w:p>
        </w:tc>
        <w:tc>
          <w:tcPr>
            <w:tcW w:type="dxa" w:w="252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Operations Manager / incident owner when required</w:t>
            </w:r>
          </w:p>
        </w:tc>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Assignment reason, SLA state</w:t>
            </w:r>
          </w:p>
        </w:tc>
      </w:tr>
      <w:tr>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SLA at risk</w:t>
            </w:r>
          </w:p>
        </w:tc>
        <w:tc>
          <w:tcPr>
            <w:tcW w:type="dxa" w:w="33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Identify blocker; increase attention or rebalance</w:t>
            </w:r>
          </w:p>
        </w:tc>
        <w:tc>
          <w:tcPr>
            <w:tcW w:type="dxa" w:w="252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Team lead / operations manager</w:t>
            </w:r>
          </w:p>
        </w:tc>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Blocker, mitigation, owner</w:t>
            </w:r>
          </w:p>
        </w:tc>
      </w:tr>
      <w:tr>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Resolution SLA breached</w:t>
            </w:r>
          </w:p>
        </w:tc>
        <w:tc>
          <w:tcPr>
            <w:tcW w:type="dxa" w:w="33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Confirm active ownership and customer communication</w:t>
            </w:r>
          </w:p>
        </w:tc>
        <w:tc>
          <w:tcPr>
            <w:tcW w:type="dxa" w:w="252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Operations Manager when material</w:t>
            </w:r>
          </w:p>
        </w:tc>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Breach state, cause, action</w:t>
            </w:r>
          </w:p>
        </w:tc>
      </w:tr>
      <w:tr>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Repeated breaches in one queue</w:t>
            </w:r>
          </w:p>
        </w:tc>
        <w:tc>
          <w:tcPr>
            <w:tcW w:type="dxa" w:w="33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Treat as systemic workforce/process issue</w:t>
            </w:r>
          </w:p>
        </w:tc>
        <w:tc>
          <w:tcPr>
            <w:tcW w:type="dxa" w:w="252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Workforce + operations leadership</w:t>
            </w:r>
          </w:p>
        </w:tc>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Queue trend, capacity, staffing</w:t>
            </w:r>
          </w:p>
        </w:tc>
      </w:tr>
      <w:tr>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Security/privacy impact</w:t>
            </w:r>
          </w:p>
        </w:tc>
        <w:tc>
          <w:tcPr>
            <w:tcW w:type="dxa" w:w="338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Contain and preserve evidence</w:t>
            </w:r>
          </w:p>
        </w:tc>
        <w:tc>
          <w:tcPr>
            <w:tcW w:type="dxa" w:w="252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Cyber Security / Privacy</w:t>
            </w:r>
          </w:p>
        </w:tc>
        <w:tc>
          <w:tcPr>
            <w:tcW w:type="dxa" w:w="230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Incident reference, evidence scope</w:t>
            </w:r>
          </w:p>
        </w:tc>
      </w:tr>
      <w:tr>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Customer dependency</w:t>
            </w:r>
          </w:p>
        </w:tc>
        <w:tc>
          <w:tcPr>
            <w:tcW w:type="dxa" w:w="338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Move to PENDING_CUSTOMER when appropriate</w:t>
            </w:r>
          </w:p>
        </w:tc>
        <w:tc>
          <w:tcPr>
            <w:tcW w:type="dxa" w:w="252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Follow up per communication policy</w:t>
            </w:r>
          </w:p>
        </w:tc>
        <w:tc>
          <w:tcPr>
            <w:tcW w:type="dxa" w:w="230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Question asked and required customer action</w:t>
            </w:r>
          </w:p>
        </w:tc>
      </w:tr>
    </w:tbl>
    <w:p>
      <w:pPr>
        <w:spacing w:after="20"/>
      </w:pPr>
    </w:p>
    <w:p>
      <w:pPr>
        <w:pStyle w:val="Heading2"/>
      </w:pPr>
      <w:r>
        <w:rPr>
          <w:rFonts w:ascii="Cambria" w:hAnsi="Cambria"/>
          <w:b/>
          <w:color w:val="2B67B1"/>
          <w:sz w:val="26"/>
        </w:rPr>
        <w:t>21.1 SLA handling rules</w:t>
      </w:r>
    </w:p>
    <w:p>
      <w:pPr>
        <w:pStyle w:val="ListBullet"/>
        <w:spacing w:after="60"/>
      </w:pPr>
      <w:r>
        <w:rPr>
          <w:rFonts w:ascii="Cambria" w:hAnsi="Cambria"/>
          <w:b w:val="0"/>
          <w:color w:val="25364D"/>
          <w:sz w:val="16"/>
        </w:rPr>
        <w:t>Use the platform SLA state rather than local wall-clock calculations.</w:t>
      </w:r>
    </w:p>
    <w:p>
      <w:pPr>
        <w:pStyle w:val="ListBullet"/>
        <w:spacing w:after="60"/>
      </w:pPr>
      <w:r>
        <w:rPr>
          <w:rFonts w:ascii="Cambria" w:hAnsi="Cambria"/>
          <w:b w:val="0"/>
          <w:color w:val="25364D"/>
          <w:sz w:val="16"/>
        </w:rPr>
        <w:t>Separate first-response SLA from resolution SLA; one may breach while the other remains healthy.</w:t>
      </w:r>
    </w:p>
    <w:p>
      <w:pPr>
        <w:pStyle w:val="ListBullet"/>
        <w:spacing w:after="60"/>
      </w:pPr>
      <w:r>
        <w:rPr>
          <w:rFonts w:ascii="Cambria" w:hAnsi="Cambria"/>
          <w:b w:val="0"/>
          <w:color w:val="25364D"/>
          <w:sz w:val="16"/>
        </w:rPr>
        <w:t>SLA pause state must be visible in the audit trail where the process permits pausing.</w:t>
      </w:r>
    </w:p>
    <w:p>
      <w:pPr>
        <w:pStyle w:val="ListBullet"/>
        <w:spacing w:after="60"/>
      </w:pPr>
      <w:r>
        <w:rPr>
          <w:rFonts w:ascii="Cambria" w:hAnsi="Cambria"/>
          <w:b w:val="0"/>
          <w:color w:val="25364D"/>
          <w:sz w:val="16"/>
        </w:rPr>
        <w:t>A resolved ticket should stop active resolution timing according to the platform lifecycle rules.</w:t>
      </w: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SLA PRINCIPLE</w:t>
            </w:r>
            <w:r>
              <w:rPr>
                <w:rFonts w:ascii="Cambria" w:hAnsi="Cambria"/>
                <w:b w:val="0"/>
                <w:color w:val="25364D"/>
                <w:sz w:val="17"/>
              </w:rPr>
              <w:br/>
              <w:t>The SLA engine is a control mechanism, not merely a countdown display. It should drive prioritization, assignment attention, escalation and operational reporting.</w:t>
            </w:r>
          </w:p>
        </w:tc>
      </w:tr>
    </w:tbl>
    <w:p>
      <w:pPr>
        <w:spacing w:after="20"/>
      </w:pPr>
    </w:p>
    <w:p>
      <w:r>
        <w:br w:type="page"/>
      </w:r>
    </w:p>
    <w:p>
      <w:pPr>
        <w:pStyle w:val="Heading1"/>
        <w:pBdr>
          <w:bottom w:val="single" w:sz="10" w:space="5" w:color="2B67B1"/>
        </w:pBdr>
      </w:pPr>
      <w:r>
        <w:rPr>
          <w:rFonts w:ascii="Cambria" w:hAnsi="Cambria"/>
          <w:b/>
          <w:color w:val="1F4474"/>
          <w:sz w:val="34"/>
        </w:rPr>
        <w:t>22. Resolver Checklist - Before You Resolve</w:t>
      </w:r>
    </w:p>
    <w:p>
      <w:pPr>
        <w:pStyle w:val="ListNumber"/>
        <w:spacing w:after="60"/>
      </w:pPr>
      <w:r>
        <w:rPr>
          <w:rFonts w:ascii="Cambria" w:hAnsi="Cambria"/>
          <w:b w:val="0"/>
          <w:color w:val="25364D"/>
          <w:sz w:val="16"/>
        </w:rPr>
        <w:t>Confirm the requested outcome is understood and matches the complaint.</w:t>
      </w:r>
    </w:p>
    <w:p>
      <w:pPr>
        <w:pStyle w:val="ListNumber"/>
        <w:spacing w:after="60"/>
      </w:pPr>
      <w:r>
        <w:rPr>
          <w:rFonts w:ascii="Cambria" w:hAnsi="Cambria"/>
          <w:b w:val="0"/>
          <w:color w:val="25364D"/>
          <w:sz w:val="16"/>
        </w:rPr>
        <w:t>Review AI recommendation and similar resolved cases only as supporting context.</w:t>
      </w:r>
    </w:p>
    <w:p>
      <w:pPr>
        <w:pStyle w:val="ListNumber"/>
        <w:spacing w:after="60"/>
      </w:pPr>
      <w:r>
        <w:rPr>
          <w:rFonts w:ascii="Cambria" w:hAnsi="Cambria"/>
          <w:b w:val="0"/>
          <w:color w:val="25364D"/>
          <w:sz w:val="16"/>
        </w:rPr>
        <w:t>Confirm the actual technical/business state using approved evidence.</w:t>
      </w:r>
    </w:p>
    <w:p>
      <w:pPr>
        <w:pStyle w:val="ListNumber"/>
        <w:spacing w:after="60"/>
      </w:pPr>
      <w:r>
        <w:rPr>
          <w:rFonts w:ascii="Cambria" w:hAnsi="Cambria"/>
          <w:b w:val="0"/>
          <w:color w:val="25364D"/>
          <w:sz w:val="16"/>
        </w:rPr>
        <w:t>Verify customer impact is addressed.</w:t>
      </w:r>
    </w:p>
    <w:p>
      <w:pPr>
        <w:pStyle w:val="ListNumber"/>
        <w:spacing w:after="60"/>
      </w:pPr>
      <w:r>
        <w:rPr>
          <w:rFonts w:ascii="Cambria" w:hAnsi="Cambria"/>
          <w:b w:val="0"/>
          <w:color w:val="25364D"/>
          <w:sz w:val="16"/>
        </w:rPr>
        <w:t>Record the material resolution steps taken.</w:t>
      </w:r>
    </w:p>
    <w:p>
      <w:pPr>
        <w:pStyle w:val="ListNumber"/>
        <w:spacing w:after="60"/>
      </w:pPr>
      <w:r>
        <w:rPr>
          <w:rFonts w:ascii="Cambria" w:hAnsi="Cambria"/>
          <w:b w:val="0"/>
          <w:color w:val="25364D"/>
          <w:sz w:val="16"/>
        </w:rPr>
        <w:t>Confirm no related security, privacy, financial or incident-management obligation remains open.</w:t>
      </w:r>
    </w:p>
    <w:p>
      <w:pPr>
        <w:pStyle w:val="ListNumber"/>
        <w:spacing w:after="60"/>
      </w:pPr>
      <w:r>
        <w:rPr>
          <w:rFonts w:ascii="Cambria" w:hAnsi="Cambria"/>
          <w:b w:val="0"/>
          <w:color w:val="25364D"/>
          <w:sz w:val="16"/>
        </w:rPr>
        <w:t>Move to RESOLVED only when the resolver has completed the work and the evidence supports the outcome.</w:t>
      </w:r>
    </w:p>
    <w:p>
      <w:pPr>
        <w:pStyle w:val="ListNumber"/>
        <w:spacing w:after="60"/>
      </w:pPr>
      <w:r>
        <w:rPr>
          <w:rFonts w:ascii="Cambria" w:hAnsi="Cambria"/>
          <w:b w:val="0"/>
          <w:color w:val="25364D"/>
          <w:sz w:val="16"/>
        </w:rPr>
        <w:t>Provide a concise customer-facing resolution statement.</w:t>
      </w:r>
    </w:p>
    <w:p>
      <w:pPr>
        <w:pStyle w:val="Heading2"/>
      </w:pPr>
      <w:r>
        <w:rPr>
          <w:rFonts w:ascii="Cambria" w:hAnsi="Cambria"/>
          <w:b/>
          <w:color w:val="2B67B1"/>
          <w:sz w:val="26"/>
        </w:rPr>
        <w:t>22.1 Quality checklist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02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8"/>
              </w:rPr>
              <w:t>Check</w:t>
            </w:r>
          </w:p>
        </w:tc>
        <w:tc>
          <w:tcPr>
            <w:tcW w:type="dxa" w:w="720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8"/>
              </w:rPr>
              <w:t>Pass condition</w:t>
            </w:r>
          </w:p>
        </w:tc>
      </w:tr>
      <w:tr>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Identity / customer context</w:t>
            </w:r>
          </w:p>
        </w:tc>
        <w:tc>
          <w:tcPr>
            <w:tcW w:type="dxa" w:w="72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Customer identity and account context are correctly associated</w:t>
            </w:r>
          </w:p>
        </w:tc>
      </w:tr>
      <w:tr>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Root cause</w:t>
            </w:r>
          </w:p>
        </w:tc>
        <w:tc>
          <w:tcPr>
            <w:tcW w:type="dxa" w:w="72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Root cause or most supported explanation is documented</w:t>
            </w:r>
          </w:p>
        </w:tc>
      </w:tr>
      <w:tr>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Action</w:t>
            </w:r>
          </w:p>
        </w:tc>
        <w:tc>
          <w:tcPr>
            <w:tcW w:type="dxa" w:w="72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Actual action performed is recorded</w:t>
            </w:r>
          </w:p>
        </w:tc>
      </w:tr>
      <w:tr>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Validation</w:t>
            </w:r>
          </w:p>
        </w:tc>
        <w:tc>
          <w:tcPr>
            <w:tcW w:type="dxa" w:w="72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Successful outcome is verified</w:t>
            </w:r>
          </w:p>
        </w:tc>
      </w:tr>
      <w:tr>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SLA</w:t>
            </w:r>
          </w:p>
        </w:tc>
        <w:tc>
          <w:tcPr>
            <w:tcW w:type="dxa" w:w="72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SLA state and any breach reason are understood</w:t>
            </w:r>
          </w:p>
        </w:tc>
      </w:tr>
      <w:tr>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Security / privacy</w:t>
            </w:r>
          </w:p>
        </w:tc>
        <w:tc>
          <w:tcPr>
            <w:tcW w:type="dxa" w:w="72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No unresolved security/privacy concern remains</w:t>
            </w:r>
          </w:p>
        </w:tc>
      </w:tr>
      <w:tr>
        <w:tc>
          <w:tcPr>
            <w:tcW w:type="dxa" w:w="302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Communication</w:t>
            </w:r>
          </w:p>
        </w:tc>
        <w:tc>
          <w:tcPr>
            <w:tcW w:type="dxa" w:w="72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Customer has a clear outcome and next step if any</w:t>
            </w:r>
          </w:p>
        </w:tc>
      </w:tr>
      <w:tr>
        <w:tc>
          <w:tcPr>
            <w:tcW w:type="dxa" w:w="302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Audit</w:t>
            </w:r>
          </w:p>
        </w:tc>
        <w:tc>
          <w:tcPr>
            <w:tcW w:type="dxa" w:w="72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8"/>
              </w:rPr>
              <w:t>Material assignment, status, escalation and comment events exist</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RESOLVE VS. CLOSE</w:t>
            </w:r>
            <w:r>
              <w:rPr>
                <w:rFonts w:ascii="Cambria" w:hAnsi="Cambria"/>
                <w:b w:val="0"/>
                <w:color w:val="25364D"/>
                <w:sz w:val="17"/>
              </w:rPr>
              <w:br/>
              <w:t>RESOLVED means the resolver has completed the service work. CLOSED is the administrative end state. Do not use closure to hide an unresolved technical condition.</w:t>
            </w:r>
          </w:p>
        </w:tc>
      </w:tr>
    </w:tbl>
    <w:p>
      <w:pPr>
        <w:spacing w:after="20"/>
      </w:pPr>
    </w:p>
    <w:p>
      <w:r>
        <w:br w:type="page"/>
      </w:r>
    </w:p>
    <w:p>
      <w:pPr>
        <w:pStyle w:val="Heading1"/>
        <w:pBdr>
          <w:bottom w:val="single" w:sz="10" w:space="5" w:color="2B67B1"/>
        </w:pBdr>
      </w:pPr>
      <w:r>
        <w:rPr>
          <w:rFonts w:ascii="Cambria" w:hAnsi="Cambria"/>
          <w:b/>
          <w:color w:val="1F4474"/>
          <w:sz w:val="34"/>
        </w:rPr>
        <w:t>23. Knowledge Base Governance and Article Quality</w:t>
      </w:r>
    </w:p>
    <w:p>
      <w:pPr>
        <w:pStyle w:val="Heading2"/>
      </w:pPr>
      <w:r>
        <w:rPr>
          <w:rFonts w:ascii="Cambria" w:hAnsi="Cambria"/>
          <w:b/>
          <w:color w:val="2B67B1"/>
          <w:sz w:val="26"/>
        </w:rPr>
        <w:t>23.1 Article lifecycle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01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Stage</w:t>
            </w:r>
          </w:p>
        </w:tc>
        <w:tc>
          <w:tcPr>
            <w:tcW w:type="dxa" w:w="309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Owner</w:t>
            </w:r>
          </w:p>
        </w:tc>
        <w:tc>
          <w:tcPr>
            <w:tcW w:type="dxa" w:w="511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Output</w:t>
            </w:r>
          </w:p>
        </w:tc>
      </w:tr>
      <w:tr>
        <w:tc>
          <w:tcPr>
            <w:tcW w:type="dxa" w:w="201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Draft</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Resolver subject-matter owner</w:t>
            </w:r>
          </w:p>
        </w:tc>
        <w:tc>
          <w:tcPr>
            <w:tcW w:type="dxa" w:w="511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created with evidence and safe procedure</w:t>
            </w:r>
          </w:p>
        </w:tc>
      </w:tr>
      <w:tr>
        <w:tc>
          <w:tcPr>
            <w:tcW w:type="dxa" w:w="201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Review</w:t>
            </w:r>
          </w:p>
        </w:tc>
        <w:tc>
          <w:tcPr>
            <w:tcW w:type="dxa" w:w="309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Operations + technical SME</w:t>
            </w:r>
          </w:p>
        </w:tc>
        <w:tc>
          <w:tcPr>
            <w:tcW w:type="dxa" w:w="511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Technical accuracy, scope and escalation validated</w:t>
            </w:r>
          </w:p>
        </w:tc>
      </w:tr>
      <w:tr>
        <w:tc>
          <w:tcPr>
            <w:tcW w:type="dxa" w:w="201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Approve</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Knowledge owner / delegated authority</w:t>
            </w:r>
          </w:p>
        </w:tc>
        <w:tc>
          <w:tcPr>
            <w:tcW w:type="dxa" w:w="511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 becomes controlled</w:t>
            </w:r>
          </w:p>
        </w:tc>
      </w:tr>
      <w:tr>
        <w:tc>
          <w:tcPr>
            <w:tcW w:type="dxa" w:w="201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Publish</w:t>
            </w:r>
          </w:p>
        </w:tc>
        <w:tc>
          <w:tcPr>
            <w:tcW w:type="dxa" w:w="309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Platform administrator</w:t>
            </w:r>
          </w:p>
        </w:tc>
        <w:tc>
          <w:tcPr>
            <w:tcW w:type="dxa" w:w="511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Searchable and versioned article available</w:t>
            </w:r>
          </w:p>
        </w:tc>
      </w:tr>
      <w:tr>
        <w:tc>
          <w:tcPr>
            <w:tcW w:type="dxa" w:w="201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Measure</w:t>
            </w:r>
          </w:p>
        </w:tc>
        <w:tc>
          <w:tcPr>
            <w:tcW w:type="dxa" w:w="309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Knowledge owner</w:t>
            </w:r>
          </w:p>
        </w:tc>
        <w:tc>
          <w:tcPr>
            <w:tcW w:type="dxa" w:w="511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Usage, helpfulness and resolution outcomes reviewed</w:t>
            </w:r>
          </w:p>
        </w:tc>
      </w:tr>
      <w:tr>
        <w:tc>
          <w:tcPr>
            <w:tcW w:type="dxa" w:w="201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Retire</w:t>
            </w:r>
          </w:p>
        </w:tc>
        <w:tc>
          <w:tcPr>
            <w:tcW w:type="dxa" w:w="309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Knowledge owner</w:t>
            </w:r>
          </w:p>
        </w:tc>
        <w:tc>
          <w:tcPr>
            <w:tcW w:type="dxa" w:w="511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Superseded article removed from active retrieval</w:t>
            </w:r>
          </w:p>
        </w:tc>
      </w:tr>
    </w:tbl>
    <w:p>
      <w:pPr>
        <w:spacing w:after="20"/>
      </w:pPr>
    </w:p>
    <w:p>
      <w:pPr>
        <w:pStyle w:val="Heading2"/>
      </w:pPr>
      <w:r>
        <w:rPr>
          <w:rFonts w:ascii="Cambria" w:hAnsi="Cambria"/>
          <w:b/>
          <w:color w:val="2B67B1"/>
          <w:sz w:val="26"/>
        </w:rPr>
        <w:t>23.2 Article quality gates</w:t>
      </w:r>
    </w:p>
    <w:p>
      <w:pPr>
        <w:pStyle w:val="ListBullet"/>
        <w:spacing w:after="60"/>
      </w:pPr>
      <w:r>
        <w:rPr>
          <w:rFonts w:ascii="Cambria" w:hAnsi="Cambria"/>
          <w:b w:val="0"/>
          <w:color w:val="25364D"/>
          <w:sz w:val="16"/>
        </w:rPr>
        <w:t>Every article must have a stable ID and owner.</w:t>
      </w:r>
    </w:p>
    <w:p>
      <w:pPr>
        <w:pStyle w:val="ListBullet"/>
        <w:spacing w:after="60"/>
      </w:pPr>
      <w:r>
        <w:rPr>
          <w:rFonts w:ascii="Cambria" w:hAnsi="Cambria"/>
          <w:b w:val="0"/>
          <w:color w:val="25364D"/>
          <w:sz w:val="16"/>
        </w:rPr>
        <w:t>Steps must be actionable and sequenced.</w:t>
      </w:r>
    </w:p>
    <w:p>
      <w:pPr>
        <w:pStyle w:val="ListBullet"/>
        <w:spacing w:after="60"/>
      </w:pPr>
      <w:r>
        <w:rPr>
          <w:rFonts w:ascii="Cambria" w:hAnsi="Cambria"/>
          <w:b w:val="0"/>
          <w:color w:val="25364D"/>
          <w:sz w:val="16"/>
        </w:rPr>
        <w:t>Every article must state when to stop and escalate.</w:t>
      </w:r>
    </w:p>
    <w:p>
      <w:pPr>
        <w:pStyle w:val="ListBullet"/>
        <w:spacing w:after="60"/>
      </w:pPr>
      <w:r>
        <w:rPr>
          <w:rFonts w:ascii="Cambria" w:hAnsi="Cambria"/>
          <w:b w:val="0"/>
          <w:color w:val="25364D"/>
          <w:sz w:val="16"/>
        </w:rPr>
        <w:t>Sensitive data handling rules must be explicit for security, identity and finance articles.</w:t>
      </w:r>
    </w:p>
    <w:p>
      <w:pPr>
        <w:pStyle w:val="ListBullet"/>
        <w:spacing w:after="60"/>
      </w:pPr>
      <w:r>
        <w:rPr>
          <w:rFonts w:ascii="Cambria" w:hAnsi="Cambria"/>
          <w:b w:val="0"/>
          <w:color w:val="25364D"/>
          <w:sz w:val="16"/>
        </w:rPr>
        <w:t>Validation criteria must be measurable or observable.</w:t>
      </w:r>
    </w:p>
    <w:p>
      <w:pPr>
        <w:pStyle w:val="ListBullet"/>
        <w:spacing w:after="60"/>
      </w:pPr>
      <w:r>
        <w:rPr>
          <w:rFonts w:ascii="Cambria" w:hAnsi="Cambria"/>
          <w:b w:val="0"/>
          <w:color w:val="25364D"/>
          <w:sz w:val="16"/>
        </w:rPr>
        <w:t>Related articles should connect common incident chains.</w:t>
      </w:r>
    </w:p>
    <w:p>
      <w:pPr>
        <w:pStyle w:val="ListBullet"/>
        <w:spacing w:after="60"/>
      </w:pPr>
      <w:r>
        <w:rPr>
          <w:rFonts w:ascii="Cambria" w:hAnsi="Cambria"/>
          <w:b w:val="0"/>
          <w:color w:val="25364D"/>
          <w:sz w:val="16"/>
        </w:rPr>
        <w:t>Major product/process changes should trigger article review.</w:t>
      </w:r>
    </w:p>
    <w:p>
      <w:pPr>
        <w:pStyle w:val="Heading2"/>
      </w:pPr>
      <w:r>
        <w:rPr>
          <w:rFonts w:ascii="Cambria" w:hAnsi="Cambria"/>
          <w:b/>
          <w:color w:val="2B67B1"/>
          <w:sz w:val="26"/>
        </w:rPr>
        <w:t>23.3 AI retrieval readiness</w:t>
      </w:r>
    </w:p>
    <w:p>
      <w:pPr>
        <w:spacing w:after="60" w:line="252" w:lineRule="auto"/>
      </w:pPr>
      <w:r>
        <w:rPr>
          <w:rFonts w:ascii="Cambria" w:hAnsi="Cambria"/>
          <w:b w:val="0"/>
          <w:color w:val="25364D"/>
          <w:sz w:val="18"/>
        </w:rPr>
        <w:t>For future retrieval-augmented generation or GraphRAG use, preserve entities and relationships explicitly: product area, category, subcategory, team, resolver role, symptom, cause, procedure, validation, escalation owner and related articles. This allows the platform to retrieve a precise operational path rather than a generic troubleshooting paragraph.</w:t>
      </w:r>
    </w:p>
    <w:tbl>
      <w:tblPr>
        <w:tblW w:type="auto" w:w="0"/>
        <w:jc w:val="center"/>
        <w:tblLook w:firstColumn="1" w:firstRow="1" w:lastColumn="0" w:lastRow="0" w:noHBand="0" w:noVBand="1" w:val="04A0"/>
      </w:tblPr>
      <w:tblGrid>
        <w:gridCol w:w="10454"/>
      </w:tblGrid>
      <w:tr>
        <w:tc>
          <w:tcPr>
            <w:tcW w:type="dxa" w:w="10454"/>
            <w:shd w:fill="EEF3F8"/>
            <w:tcBorders>
              <w:top w:val="single" w:sz="9" w:space="0" w:color="2B67B1"/>
              <w:left w:val="single" w:sz="9" w:space="0" w:color="2B67B1"/>
              <w:bottom w:val="single" w:sz="9" w:space="0" w:color="2B67B1"/>
              <w:right w:val="single" w:sz="9" w:space="0" w:color="2B67B1"/>
              <w:insideH w:val="single" w:sz="9" w:space="0" w:color="2B67B1"/>
              <w:insideV w:val="single" w:sz="9" w:space="0" w:color="2B67B1"/>
            </w:tcBorders>
            <w:tcMar>
              <w:top w:w="100" w:type="dxa"/>
              <w:start w:w="120" w:type="dxa"/>
              <w:bottom w:w="100" w:type="dxa"/>
              <w:end w:w="120" w:type="dxa"/>
            </w:tcMar>
          </w:tcPr>
          <w:p>
            <w:r>
              <w:rPr>
                <w:rFonts w:ascii="Cambria" w:hAnsi="Cambria"/>
                <w:b/>
                <w:color w:val="1F4474"/>
                <w:sz w:val="16"/>
              </w:rPr>
              <w:t>DESIGN RULE</w:t>
            </w:r>
            <w:r>
              <w:rPr>
                <w:rFonts w:ascii="Cambria" w:hAnsi="Cambria"/>
                <w:b w:val="0"/>
                <w:color w:val="25364D"/>
                <w:sz w:val="17"/>
              </w:rPr>
              <w:br/>
              <w:t>The KB should be the approved procedural source. Historical tickets are evidence of what happened; KB articles are the controlled source of what should be done.</w:t>
            </w:r>
          </w:p>
        </w:tc>
      </w:tr>
    </w:tbl>
    <w:p>
      <w:pPr>
        <w:spacing w:after="20"/>
      </w:pPr>
    </w:p>
    <w:p>
      <w:r>
        <w:br w:type="page"/>
      </w:r>
    </w:p>
    <w:p>
      <w:pPr>
        <w:pStyle w:val="Heading1"/>
        <w:pBdr>
          <w:bottom w:val="single" w:sz="10" w:space="5" w:color="2B67B1"/>
        </w:pBdr>
      </w:pPr>
      <w:r>
        <w:rPr>
          <w:rFonts w:ascii="Cambria" w:hAnsi="Cambria"/>
          <w:b/>
          <w:color w:val="1F4474"/>
          <w:sz w:val="34"/>
        </w:rPr>
        <w:t>24. Search and Retrieval Design Reference</w:t>
      </w:r>
    </w:p>
    <w:p>
      <w:pPr>
        <w:pStyle w:val="Heading2"/>
      </w:pPr>
      <w:r>
        <w:rPr>
          <w:rFonts w:ascii="Cambria" w:hAnsi="Cambria"/>
          <w:b/>
          <w:color w:val="2B67B1"/>
          <w:sz w:val="26"/>
        </w:rPr>
        <w:t>24.1 Recommended query sequence</w:t>
      </w:r>
    </w:p>
    <w:p>
      <w:pPr>
        <w:pStyle w:val="ListNumber"/>
        <w:spacing w:after="60"/>
      </w:pPr>
      <w:r>
        <w:rPr>
          <w:rFonts w:ascii="Cambria" w:hAnsi="Cambria"/>
          <w:b w:val="0"/>
          <w:color w:val="25364D"/>
          <w:sz w:val="16"/>
        </w:rPr>
        <w:t>Retrieve by ticket category and subcategory.</w:t>
      </w:r>
    </w:p>
    <w:p>
      <w:pPr>
        <w:pStyle w:val="ListNumber"/>
        <w:spacing w:after="60"/>
      </w:pPr>
      <w:r>
        <w:rPr>
          <w:rFonts w:ascii="Cambria" w:hAnsi="Cambria"/>
          <w:b w:val="0"/>
          <w:color w:val="25364D"/>
          <w:sz w:val="16"/>
        </w:rPr>
        <w:t>Filter by resolver role and applicable system domain.</w:t>
      </w:r>
    </w:p>
    <w:p>
      <w:pPr>
        <w:pStyle w:val="ListNumber"/>
        <w:spacing w:after="60"/>
      </w:pPr>
      <w:r>
        <w:rPr>
          <w:rFonts w:ascii="Cambria" w:hAnsi="Cambria"/>
          <w:b w:val="0"/>
          <w:color w:val="25364D"/>
          <w:sz w:val="16"/>
        </w:rPr>
        <w:t>Rank by symptom/complaint similarity.</w:t>
      </w:r>
    </w:p>
    <w:p>
      <w:pPr>
        <w:pStyle w:val="ListNumber"/>
        <w:spacing w:after="60"/>
      </w:pPr>
      <w:r>
        <w:rPr>
          <w:rFonts w:ascii="Cambria" w:hAnsi="Cambria"/>
          <w:b w:val="0"/>
          <w:color w:val="25364D"/>
          <w:sz w:val="16"/>
        </w:rPr>
        <w:t>Prefer current-version articles.</w:t>
      </w:r>
    </w:p>
    <w:p>
      <w:pPr>
        <w:pStyle w:val="ListNumber"/>
        <w:spacing w:after="60"/>
      </w:pPr>
      <w:r>
        <w:rPr>
          <w:rFonts w:ascii="Cambria" w:hAnsi="Cambria"/>
          <w:b w:val="0"/>
          <w:color w:val="25364D"/>
          <w:sz w:val="16"/>
        </w:rPr>
        <w:t>Retrieve similar RESOLVED/CLOSED tickets as evidence.</w:t>
      </w:r>
    </w:p>
    <w:p>
      <w:pPr>
        <w:pStyle w:val="ListNumber"/>
        <w:spacing w:after="60"/>
      </w:pPr>
      <w:r>
        <w:rPr>
          <w:rFonts w:ascii="Cambria" w:hAnsi="Cambria"/>
          <w:b w:val="0"/>
          <w:color w:val="25364D"/>
          <w:sz w:val="16"/>
        </w:rPr>
        <w:t>Present AI guidance with source references in the resolver experience.</w:t>
      </w:r>
    </w:p>
    <w:p>
      <w:pPr>
        <w:pStyle w:val="Heading2"/>
      </w:pPr>
      <w:r>
        <w:rPr>
          <w:rFonts w:ascii="Cambria" w:hAnsi="Cambria"/>
          <w:b/>
          <w:color w:val="2B67B1"/>
          <w:sz w:val="26"/>
        </w:rPr>
        <w:t>24.2 Suggested metadata dictionary</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Field</w:t>
            </w:r>
          </w:p>
        </w:tc>
        <w:tc>
          <w:tcPr>
            <w:tcW w:type="dxa" w:w="396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Purpose</w:t>
            </w:r>
          </w:p>
        </w:tc>
        <w:tc>
          <w:tcPr>
            <w:tcW w:type="dxa" w:w="4464"/>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Example</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article_id</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Stable knowledge identifier</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KB-SEC-001</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domain</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High-level operational domain</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 &amp; Privacy</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category</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Ticket/incident category</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subcategory</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Specific issue pattern</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Account Compromise</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symptom</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Observable issue</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Suspicious login alerts</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priority</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Expected urgency</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Critical</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audience</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Allowed resolver roles</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Cyber Security</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keywords</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Retrieval terms</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credential, suspicious login</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procedure</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Approved resolution steps</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Ordered procedural text</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validation</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Completion criteria</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Sessions contained; reset completed</w:t>
            </w:r>
          </w:p>
        </w:tc>
      </w:tr>
      <w:tr>
        <w:tc>
          <w:tcPr>
            <w:tcW w:type="dxa" w:w="180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escalation</w:t>
            </w:r>
          </w:p>
        </w:tc>
        <w:tc>
          <w:tcPr>
            <w:tcW w:type="dxa" w:w="396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Stop conditions and owner</w:t>
            </w:r>
          </w:p>
        </w:tc>
        <w:tc>
          <w:tcPr>
            <w:tcW w:type="dxa" w:w="4464"/>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Cyber Security incident process</w:t>
            </w:r>
          </w:p>
        </w:tc>
      </w:tr>
      <w:tr>
        <w:tc>
          <w:tcPr>
            <w:tcW w:type="dxa" w:w="180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related_articles</w:t>
            </w:r>
          </w:p>
        </w:tc>
        <w:tc>
          <w:tcPr>
            <w:tcW w:type="dxa" w:w="396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Graph/relationship links</w:t>
            </w:r>
          </w:p>
        </w:tc>
        <w:tc>
          <w:tcPr>
            <w:tcW w:type="dxa" w:w="4464"/>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KB-FIN-001, KB-SEC-002</w:t>
            </w:r>
          </w:p>
        </w:tc>
      </w:tr>
    </w:tbl>
    <w:p>
      <w:pPr>
        <w:spacing w:after="20"/>
      </w:pPr>
    </w:p>
    <w:p>
      <w:pPr>
        <w:pStyle w:val="Heading2"/>
      </w:pPr>
      <w:r>
        <w:rPr>
          <w:rFonts w:ascii="Cambria" w:hAnsi="Cambria"/>
          <w:b/>
          <w:color w:val="2B67B1"/>
          <w:sz w:val="26"/>
        </w:rPr>
        <w:t>24.3 Why this structure matters</w:t>
      </w:r>
    </w:p>
    <w:p>
      <w:pPr>
        <w:pStyle w:val="ListBullet"/>
        <w:spacing w:after="60"/>
      </w:pPr>
      <w:r>
        <w:rPr>
          <w:rFonts w:ascii="Cambria" w:hAnsi="Cambria"/>
          <w:b w:val="0"/>
          <w:color w:val="25364D"/>
          <w:sz w:val="16"/>
        </w:rPr>
        <w:t>It supports lexical and semantic retrieval.</w:t>
      </w:r>
    </w:p>
    <w:p>
      <w:pPr>
        <w:pStyle w:val="ListBullet"/>
        <w:spacing w:after="60"/>
      </w:pPr>
      <w:r>
        <w:rPr>
          <w:rFonts w:ascii="Cambria" w:hAnsi="Cambria"/>
          <w:b w:val="0"/>
          <w:color w:val="25364D"/>
          <w:sz w:val="16"/>
        </w:rPr>
        <w:t>It reduces hallucination risk by constraining the AI to controlled procedures.</w:t>
      </w:r>
    </w:p>
    <w:p>
      <w:pPr>
        <w:pStyle w:val="ListBullet"/>
        <w:spacing w:after="60"/>
      </w:pPr>
      <w:r>
        <w:rPr>
          <w:rFonts w:ascii="Cambria" w:hAnsi="Cambria"/>
          <w:b w:val="0"/>
          <w:color w:val="25364D"/>
          <w:sz w:val="16"/>
        </w:rPr>
        <w:t>It enables graph relationships between incidents, teams, SLAs and remediation patterns.</w:t>
      </w:r>
    </w:p>
    <w:p>
      <w:pPr>
        <w:pStyle w:val="ListBullet"/>
        <w:spacing w:after="60"/>
      </w:pPr>
      <w:r>
        <w:rPr>
          <w:rFonts w:ascii="Cambria" w:hAnsi="Cambria"/>
          <w:b w:val="0"/>
          <w:color w:val="25364D"/>
          <w:sz w:val="16"/>
        </w:rPr>
        <w:t>It makes KB analytics possible: which articles resolve tickets, which articles are stale and which topics generate repeated escalations.</w:t>
      </w:r>
    </w:p>
    <w:p>
      <w:r>
        <w:br w:type="page"/>
      </w:r>
    </w:p>
    <w:p>
      <w:pPr>
        <w:pStyle w:val="Heading1"/>
        <w:pBdr>
          <w:bottom w:val="single" w:sz="10" w:space="5" w:color="2B67B1"/>
        </w:pBdr>
      </w:pPr>
      <w:r>
        <w:rPr>
          <w:rFonts w:ascii="Cambria" w:hAnsi="Cambria"/>
          <w:b/>
          <w:color w:val="1F4474"/>
          <w:sz w:val="34"/>
        </w:rPr>
        <w:t>25. Appendix A - Common Diagnostic Questions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23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Issue family</w:t>
            </w:r>
          </w:p>
        </w:tc>
        <w:tc>
          <w:tcPr>
            <w:tcW w:type="dxa" w:w="7992"/>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Questions to ask first</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Account access</w:t>
            </w:r>
          </w:p>
        </w:tc>
        <w:tc>
          <w:tcPr>
            <w:tcW w:type="dxa" w:w="799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exact error? When did it start? One user or many? Any recent password/security change?</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Security</w:t>
            </w:r>
          </w:p>
        </w:tc>
        <w:tc>
          <w:tcPr>
            <w:tcW w:type="dxa" w:w="799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alert occurred? When? Is the account still accessible? Any unauthorized transaction or data exposure?</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Billing</w:t>
            </w:r>
          </w:p>
        </w:tc>
        <w:tc>
          <w:tcPr>
            <w:tcW w:type="dxa" w:w="799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transaction/reference? Amount/date/currency? Pending or settled? Duplicate or unexpected?</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Subscription</w:t>
            </w:r>
          </w:p>
        </w:tc>
        <w:tc>
          <w:tcPr>
            <w:tcW w:type="dxa" w:w="799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Was payment confirmed? What plan? What account? Is entitlement absent or inactive?</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Outage</w:t>
            </w:r>
          </w:p>
        </w:tc>
        <w:tc>
          <w:tcPr>
            <w:tcW w:type="dxa" w:w="799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How many users/tenants affected? What was the last successful operation? Any known incident?</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Integration/API</w:t>
            </w:r>
          </w:p>
        </w:tc>
        <w:tc>
          <w:tcPr>
            <w:tcW w:type="dxa" w:w="799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Endpoint/service? Failure time? Error class/signature? All requests or subset? Recent change?</w:t>
            </w:r>
          </w:p>
        </w:tc>
      </w:tr>
      <w:tr>
        <w:tc>
          <w:tcPr>
            <w:tcW w:type="dxa" w:w="223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SLA</w:t>
            </w:r>
          </w:p>
        </w:tc>
        <w:tc>
          <w:tcPr>
            <w:tcW w:type="dxa" w:w="7992"/>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Which SLA? First response or resolution? What is blocking progress? Is a resolver assigned?</w:t>
            </w:r>
          </w:p>
        </w:tc>
      </w:tr>
      <w:tr>
        <w:tc>
          <w:tcPr>
            <w:tcW w:type="dxa" w:w="223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Routing</w:t>
            </w:r>
          </w:p>
        </w:tc>
        <w:tc>
          <w:tcPr>
            <w:tcW w:type="dxa" w:w="7992"/>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team did AI select? Are there eligible resolvers? Is the ticket legacy-labeled? Is manual assignment required?</w:t>
            </w:r>
          </w:p>
        </w:tc>
      </w:tr>
    </w:tbl>
    <w:p>
      <w:pPr>
        <w:spacing w:after="20"/>
      </w:pPr>
    </w:p>
    <w:tbl>
      <w:tblPr>
        <w:tblW w:type="auto" w:w="0"/>
        <w:jc w:val="center"/>
        <w:tblLook w:firstColumn="1" w:firstRow="1" w:lastColumn="0" w:lastRow="0" w:noHBand="0" w:noVBand="1" w:val="04A0"/>
      </w:tblPr>
      <w:tblGrid>
        <w:gridCol w:w="10454"/>
      </w:tblGrid>
      <w:tr>
        <w:tc>
          <w:tcPr>
            <w:tcW w:type="dxa" w:w="10454"/>
            <w:shd w:fill="FCEDED"/>
            <w:tcBorders>
              <w:top w:val="single" w:sz="9" w:space="0" w:color="A83838"/>
              <w:left w:val="single" w:sz="9" w:space="0" w:color="A83838"/>
              <w:bottom w:val="single" w:sz="9" w:space="0" w:color="A83838"/>
              <w:right w:val="single" w:sz="9" w:space="0" w:color="A83838"/>
              <w:insideH w:val="single" w:sz="9" w:space="0" w:color="A83838"/>
              <w:insideV w:val="single" w:sz="9" w:space="0" w:color="A83838"/>
            </w:tcBorders>
            <w:tcMar>
              <w:top w:w="100" w:type="dxa"/>
              <w:start w:w="120" w:type="dxa"/>
              <w:bottom w:w="100" w:type="dxa"/>
              <w:end w:w="120" w:type="dxa"/>
            </w:tcMar>
          </w:tcPr>
          <w:p>
            <w:r>
              <w:rPr>
                <w:rFonts w:ascii="Cambria" w:hAnsi="Cambria"/>
                <w:b/>
                <w:color w:val="A83838"/>
                <w:sz w:val="16"/>
              </w:rPr>
              <w:t>DO NOT ASK FOR</w:t>
            </w:r>
            <w:r>
              <w:rPr>
                <w:rFonts w:ascii="Cambria" w:hAnsi="Cambria"/>
                <w:b w:val="0"/>
                <w:color w:val="25364D"/>
                <w:sz w:val="17"/>
              </w:rPr>
              <w:br/>
              <w:t>Passwords, MFA codes, private recovery secrets, full payment card numbers or unrelated personal data. Use approved verification and evidence-handling procedures.</w:t>
            </w:r>
          </w:p>
        </w:tc>
      </w:tr>
    </w:tbl>
    <w:p>
      <w:pPr>
        <w:spacing w:after="20"/>
      </w:pPr>
    </w:p>
    <w:p>
      <w:r>
        <w:br w:type="page"/>
      </w:r>
    </w:p>
    <w:p>
      <w:pPr>
        <w:pStyle w:val="Heading1"/>
        <w:pBdr>
          <w:bottom w:val="single" w:sz="10" w:space="5" w:color="2B67B1"/>
        </w:pBdr>
      </w:pPr>
      <w:r>
        <w:rPr>
          <w:rFonts w:ascii="Cambria" w:hAnsi="Cambria"/>
          <w:b/>
          <w:color w:val="1F4474"/>
          <w:sz w:val="34"/>
        </w:rPr>
        <w:t>26. Appendix B - Quick Reference: Enterprise Resolution Flow</w:t>
      </w:r>
    </w:p>
    <w:p>
      <w:pPr>
        <w:spacing w:after="60" w:line="252" w:lineRule="auto"/>
      </w:pPr>
      <w:r>
        <w:rPr>
          <w:rFonts w:ascii="Cambria" w:hAnsi="Cambria"/>
          <w:b w:val="0"/>
          <w:color w:val="25364D"/>
          <w:sz w:val="18"/>
        </w:rPr>
        <w:t>Use this one-page flow when a resolver needs a fast decision path without reading a full article.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Step</w:t>
            </w:r>
          </w:p>
        </w:tc>
        <w:tc>
          <w:tcPr>
            <w:tcW w:type="dxa" w:w="345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Decision</w:t>
            </w:r>
          </w:p>
        </w:tc>
        <w:tc>
          <w:tcPr>
            <w:tcW w:type="dxa" w:w="532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7"/>
              </w:rPr>
              <w:t>Action</w:t>
            </w:r>
          </w:p>
        </w:tc>
      </w:tr>
      <w:tr>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1. Intake</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is the user actually experiencing?</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Read complaint, category, subcategory and business impact.</w:t>
            </w:r>
          </w:p>
        </w:tc>
      </w:tr>
      <w:tr>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2. Priority</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How urgent is the impact?</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platform priority; verify customer-requested priority does not override evidence-based risk.</w:t>
            </w:r>
          </w:p>
        </w:tc>
      </w:tr>
      <w:tr>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3. Team</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Who should own this domain?</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canonical operational team.</w:t>
            </w:r>
          </w:p>
        </w:tc>
      </w:tr>
      <w:tr>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4. Resolver</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Who should work it?</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workforce-aware assignment; review skills, workload, capacity and SLA health.</w:t>
            </w:r>
          </w:p>
        </w:tc>
      </w:tr>
      <w:tr>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5. Diagnose</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is the most likely cause?</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Use approved KB + similar resolved tickets + AI recommendation.</w:t>
            </w:r>
          </w:p>
        </w:tc>
      </w:tr>
      <w:tr>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6. Act</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approved step changes the condition?</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Execute only documented and authorized actions.</w:t>
            </w:r>
          </w:p>
        </w:tc>
      </w:tr>
      <w:tr>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7. Validate</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Did the condition actually change?</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Confirm through system evidence or customer confirmation.</w:t>
            </w:r>
          </w:p>
        </w:tc>
      </w:tr>
      <w:tr>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8. Communicate</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What does the customer need to know?</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State outcome, limitations and next steps.</w:t>
            </w:r>
          </w:p>
        </w:tc>
      </w:tr>
      <w:tr>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9. Resolve</w:t>
            </w:r>
          </w:p>
        </w:tc>
        <w:tc>
          <w:tcPr>
            <w:tcW w:type="dxa" w:w="345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Is service work complete?</w:t>
            </w:r>
          </w:p>
        </w:tc>
        <w:tc>
          <w:tcPr>
            <w:tcW w:type="dxa" w:w="53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Move to RESOLVED only after evidence supports closure.</w:t>
            </w:r>
          </w:p>
        </w:tc>
      </w:tr>
      <w:tr>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10. Close</w:t>
            </w:r>
          </w:p>
        </w:tc>
        <w:tc>
          <w:tcPr>
            <w:tcW w:type="dxa" w:w="345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Has administrative closure criteria been met?</w:t>
            </w:r>
          </w:p>
        </w:tc>
        <w:tc>
          <w:tcPr>
            <w:tcW w:type="dxa" w:w="53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7"/>
              </w:rPr>
              <w:t>Close after required confirmations and audit records.</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7E8"/>
            <w:tcBorders>
              <w:top w:val="single" w:sz="9" w:space="0" w:color="B7791F"/>
              <w:left w:val="single" w:sz="9" w:space="0" w:color="B7791F"/>
              <w:bottom w:val="single" w:sz="9" w:space="0" w:color="B7791F"/>
              <w:right w:val="single" w:sz="9" w:space="0" w:color="B7791F"/>
              <w:insideH w:val="single" w:sz="9" w:space="0" w:color="B7791F"/>
              <w:insideV w:val="single" w:sz="9" w:space="0" w:color="B7791F"/>
            </w:tcBorders>
            <w:tcMar>
              <w:top w:w="100" w:type="dxa"/>
              <w:start w:w="120" w:type="dxa"/>
              <w:bottom w:w="100" w:type="dxa"/>
              <w:end w:w="120" w:type="dxa"/>
            </w:tcMar>
          </w:tcPr>
          <w:p>
            <w:r>
              <w:rPr>
                <w:rFonts w:ascii="Cambria" w:hAnsi="Cambria"/>
                <w:b/>
                <w:color w:val="B7791F"/>
                <w:sz w:val="16"/>
              </w:rPr>
              <w:t>FINAL CONTROL</w:t>
            </w:r>
            <w:r>
              <w:rPr>
                <w:rFonts w:ascii="Cambria" w:hAnsi="Cambria"/>
                <w:b w:val="0"/>
                <w:color w:val="25364D"/>
                <w:sz w:val="17"/>
              </w:rPr>
              <w:br/>
              <w:t>When the correct action is uncertain, stop at diagnosis and escalate. A controlled delay is safer than an unverified remediation.</w:t>
            </w:r>
          </w:p>
        </w:tc>
      </w:tr>
    </w:tbl>
    <w:p>
      <w:pPr>
        <w:spacing w:after="20"/>
      </w:pPr>
    </w:p>
    <w:p>
      <w:r>
        <w:br w:type="page"/>
      </w:r>
    </w:p>
    <w:p>
      <w:pPr>
        <w:pStyle w:val="Heading1"/>
        <w:pBdr>
          <w:bottom w:val="single" w:sz="10" w:space="5" w:color="2B67B1"/>
        </w:pBdr>
      </w:pPr>
      <w:r>
        <w:rPr>
          <w:rFonts w:ascii="Cambria" w:hAnsi="Cambria"/>
          <w:b/>
          <w:color w:val="1F4474"/>
          <w:sz w:val="34"/>
        </w:rPr>
        <w:t>27. Appendix C - Article Index</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728"/>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Article ID</w:t>
            </w:r>
          </w:p>
        </w:tc>
        <w:tc>
          <w:tcPr>
            <w:tcW w:type="dxa" w:w="4176"/>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Title</w:t>
            </w:r>
          </w:p>
        </w:tc>
        <w:tc>
          <w:tcPr>
            <w:tcW w:type="dxa" w:w="144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Severity</w:t>
            </w:r>
          </w:p>
        </w:tc>
        <w:tc>
          <w:tcPr>
            <w:tcW w:type="dxa" w:w="2880"/>
            <w:shd w:fill="1F4474"/>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90" w:type="dxa"/>
              <w:start w:w="100" w:type="dxa"/>
              <w:bottom w:w="90" w:type="dxa"/>
              <w:end w:w="100" w:type="dxa"/>
            </w:tcMar>
          </w:tcPr>
          <w:p>
            <w:pPr>
              <w:jc w:val="left"/>
            </w:pPr>
            <w:r>
              <w:rPr>
                <w:rFonts w:ascii="Cambria" w:hAnsi="Cambria"/>
                <w:b/>
                <w:color w:val="FFFFFF"/>
                <w:sz w:val="16"/>
              </w:rPr>
              <w:t>Audience</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KB-ACC-001</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Account locked / unable to sign in</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['Customer reports locked account or repeated login rejection.', 'No evidence yet of malicious account takeover.']</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['Account lockout policy triggered.', 'Incorrect credentials or stale browser/session state.', 'Identity synchronization or authentication service issue.']</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KB-ACC-002</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Password reset email not received</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['Customer can access email but no reset message is received.', 'Reset request may succeed in the application but email is absent.']</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['Mailbox filtering or spam quarantine.', 'Email delivery delay.', 'Incorrect customer email or stale identity record.', 'Notification provider outage.']</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KB-SEC-001</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Suspicious login alert / suspected credential compromise</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['Unexpected login from an unfamiliar location.', 'Customer believes credentials were compromised.']</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['Credential theft.', 'Session/token compromise.', 'Compromised endpoint or browser.']</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KB-SEC-002</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Customer sees another customer's personal information</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['Customer can view another user/customer record.', 'Screenshot or evidence indicates unauthorized data access.']</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['Authorization policy defect.', 'Tenant/row-level data isolation failure.', 'Cache or session contamination.', 'Configuration or deployment regression.']</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KB-FIN-001</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Duplicate charge / duplicate payment</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['Two or more transactions appear to represent the same intended purchase.', 'Customer requests reversal or refund.']</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['Duplicate submission.', 'Payment retry after timeout.', 'Gateway duplication.', 'Delayed authorization/capture creating apparent duplicates.']</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KB-FIN-002</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Subscription paid but service not activated</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['Payment is confirmed but expected service remains unavailable.', 'Customer has a valid order/subscription reference.']</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['Entitlement provisioning delay.', 'Payment-to-subscription synchronization failure.', 'Incorrect account mapping.', 'Activation job failure.']</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KB-FIN-003</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Refund request after service failure</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['Customer requests full or partial refund.', 'Service issue or failed delivery is documented.']</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['Service not delivered.', 'Duplicate or erroneous charge.', 'Customer goodwill request within policy.']</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KB-TECH-001</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Portal unavailable / broad service outage</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['Multiple users report the same outage.', 'Core application or portal is unavailable.']</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['Infrastructure outage.', 'Deployment/configuration regression.', 'Dependency failure.', 'Capacity saturation.']</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KB-TECH-002</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Business-critical integration/API failure</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['API requests fail consistently.', 'Business process is blocked by an integration.']</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['Authentication/credential expiry.', 'Schema or contract change.', 'Endpoint availability failure.', 'Rate limit or dependency issue.', 'Application configuration mismatch.']</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KB-TECH-003</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Connectivity / intermittent access issue</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['Intermittent access.', 'Single user or limited group affected.']</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['Local network path.', 'Client/browser cache.', 'VPN/proxy behavior.', 'Endpoint-specific configuration.']</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KB-TECH-004</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Payroll or high-impact business process stopped</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['Business-critical processing has stopped.', 'Large employee/customer population affected.']</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['Service outage.', 'Integration failure.', 'Data processing job failure.', 'Dependency unavailable.']</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KB-OPS-001</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Ticket is unassigned / no automatic resolver</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['Ticket is OPEN and unassigned.', 'Assignment analysis reports no eligible resolver.']</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['Outside working shift.', 'Resolver at capacity.', 'No qualified skill match.', 'Team taxonomy mismatch.', 'All normal workforce candidates unavailable.']</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KB-OPS-002</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SLA breached / SLA at risk</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['SLA state is AT_RISK or BREACHED.', 'Customer impact may be increasing because of delay.']</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['No resolver ownership.', 'High workload on resolver.', 'Customer dependency.', 'Queue starvation.', 'Underlying incident.']</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KB-OPS-003</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Ticket wrongly assigned or needs reassignment</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['Assigned resolver lacks required skills.', 'Team assignment is incorrect.', 'Resolver is overloaded or unavailable.']</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['Classification drift.', 'Legacy team naming.', 'Workforce state changed after assignment.', 'Manual assignment error.']</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KB-OPS-004</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Escalated ticket requiring operations-manager review</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['Escalation level increased.', 'Ticket has repeated SLA breaches or major customer impact.']</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['SLA breach.', 'Critical priority.', 'High business impact.', 'Resolver or team capacity problem.']</w:t>
            </w:r>
          </w:p>
        </w:tc>
      </w:tr>
      <w:tr>
        <w:tc>
          <w:tcPr>
            <w:tcW w:type="dxa" w:w="1728"/>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KB-AI-001</w:t>
            </w:r>
          </w:p>
        </w:tc>
        <w:tc>
          <w:tcPr>
            <w:tcW w:type="dxa" w:w="4176"/>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Using the AI resolution recommendation safely</w:t>
            </w:r>
          </w:p>
        </w:tc>
        <w:tc>
          <w:tcPr>
            <w:tcW w:type="dxa" w:w="144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['Ticket is active and requires troubleshooting guidance.', 'Resolver wants a recommended investigation path.']</w:t>
            </w:r>
          </w:p>
        </w:tc>
        <w:tc>
          <w:tcPr>
            <w:tcW w:type="dxa" w:w="2880"/>
            <w:shd w:fill="FFFFFF"/>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['Complex or unfamiliar issue.', 'Need to synthesize ticket context and prior cases quickly.']</w:t>
            </w:r>
          </w:p>
        </w:tc>
      </w:tr>
      <w:tr>
        <w:tc>
          <w:tcPr>
            <w:tcW w:type="dxa" w:w="1728"/>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KB-AI-002</w:t>
            </w:r>
          </w:p>
        </w:tc>
        <w:tc>
          <w:tcPr>
            <w:tcW w:type="dxa" w:w="4176"/>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Using similar resolved tickets as precedent</w:t>
            </w:r>
          </w:p>
        </w:tc>
        <w:tc>
          <w:tcPr>
            <w:tcW w:type="dxa" w:w="144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['The platform returns one or more similar RESOLVED/CLOSED cases.']</w:t>
            </w:r>
          </w:p>
        </w:tc>
        <w:tc>
          <w:tcPr>
            <w:tcW w:type="dxa" w:w="2880"/>
            <w:shd w:fill="F7F9FC"/>
            <w:tcBorders>
              <w:top w:val="single" w:sz="8" w:space="0" w:color="C7D3E0"/>
              <w:left w:val="single" w:sz="8" w:space="0" w:color="C7D3E0"/>
              <w:bottom w:val="single" w:sz="8" w:space="0" w:color="C7D3E0"/>
              <w:right w:val="single" w:sz="8" w:space="0" w:color="C7D3E0"/>
              <w:insideH w:val="single" w:sz="8" w:space="0" w:color="C7D3E0"/>
              <w:insideV w:val="single" w:sz="8" w:space="0" w:color="C7D3E0"/>
            </w:tcBorders>
            <w:tcMar>
              <w:top w:w="90" w:type="dxa"/>
              <w:start w:w="100" w:type="dxa"/>
              <w:bottom w:w="90" w:type="dxa"/>
              <w:end w:w="100" w:type="dxa"/>
            </w:tcMar>
            <w:vAlign w:val="top"/>
          </w:tcPr>
          <w:p>
            <w:r>
              <w:rPr>
                <w:rFonts w:ascii="Cambria" w:hAnsi="Cambria"/>
                <w:b w:val="0"/>
                <w:color w:val="25364D"/>
                <w:sz w:val="16"/>
              </w:rPr>
              <w:t>['Repeated complaint pattern.', 'Known operational symptom.', 'Need for prior successful remediation pattern.']</w:t>
            </w:r>
          </w:p>
        </w:tc>
      </w:tr>
    </w:tbl>
    <w:p>
      <w:pPr>
        <w:spacing w:after="20"/>
      </w:pPr>
    </w:p>
    <w:p>
      <w:pPr>
        <w:spacing w:after="60" w:line="252" w:lineRule="auto"/>
      </w:pPr>
      <w:r>
        <w:rPr>
          <w:rFonts w:ascii="Cambria" w:hAnsi="Cambria"/>
          <w:b w:val="0"/>
          <w:color w:val="25364D"/>
          <w:sz w:val="18"/>
        </w:rPr>
        <w:t>This index is intentionally suitable for later migration into a knowledge-base table or API. Each article can become a record with content chunks plus metadata while retaining the stable Article ID.</w:t>
      </w:r>
    </w:p>
    <w:tbl>
      <w:tblPr>
        <w:tblW w:type="auto" w:w="0"/>
        <w:jc w:val="center"/>
        <w:tblLook w:firstColumn="1" w:firstRow="1" w:lastColumn="0" w:lastRow="0" w:noHBand="0" w:noVBand="1" w:val="04A0"/>
      </w:tblPr>
      <w:tblGrid>
        <w:gridCol w:w="10454"/>
      </w:tblGrid>
      <w:tr>
        <w:tc>
          <w:tcPr>
            <w:tcW w:type="dxa" w:w="10454"/>
            <w:shd w:fill="EEF3F8"/>
            <w:tcBorders>
              <w:top w:val="single" w:sz="9" w:space="0" w:color="2B67B1"/>
              <w:left w:val="single" w:sz="9" w:space="0" w:color="2B67B1"/>
              <w:bottom w:val="single" w:sz="9" w:space="0" w:color="2B67B1"/>
              <w:right w:val="single" w:sz="9" w:space="0" w:color="2B67B1"/>
              <w:insideH w:val="single" w:sz="9" w:space="0" w:color="2B67B1"/>
              <w:insideV w:val="single" w:sz="9" w:space="0" w:color="2B67B1"/>
            </w:tcBorders>
            <w:tcMar>
              <w:top w:w="100" w:type="dxa"/>
              <w:start w:w="120" w:type="dxa"/>
              <w:bottom w:w="100" w:type="dxa"/>
              <w:end w:w="120" w:type="dxa"/>
            </w:tcMar>
          </w:tcPr>
          <w:p>
            <w:r>
              <w:rPr>
                <w:rFonts w:ascii="Cambria" w:hAnsi="Cambria"/>
                <w:b/>
                <w:color w:val="1F4474"/>
                <w:sz w:val="16"/>
              </w:rPr>
              <w:t>IMPLEMENTATION NOTE</w:t>
            </w:r>
            <w:r>
              <w:rPr>
                <w:rFonts w:ascii="Cambria" w:hAnsi="Cambria"/>
                <w:b w:val="0"/>
                <w:color w:val="25364D"/>
                <w:sz w:val="17"/>
              </w:rPr>
              <w:br/>
              <w:t>For the complaint-routing platform, the next logical ingestion target is a structured KB service with article CRUD, semantic search, versioning, and retrieval hooks for the resolver AI assistant. The controlled DOCX/PDF remains the human-readable master document.</w:t>
            </w:r>
          </w:p>
        </w:tc>
      </w:tr>
    </w:tbl>
    <w:p>
      <w:pPr>
        <w:spacing w:after="20"/>
      </w:pPr>
    </w:p>
    <w:sectPr w:rsidR="00FC693F" w:rsidRPr="0006063C" w:rsidSect="00034616">
      <w:headerReference w:type="default" r:id="rId9"/>
      <w:footerReference w:type="default" r:id="rId10"/>
      <w:pgSz w:w="12240" w:h="15840"/>
      <w:pgMar w:top="792" w:right="893" w:bottom="792"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b w:val="0"/>
        <w:color w:val="6B7B91"/>
        <w:sz w:val="17"/>
      </w:rPr>
      <w:t xml:space="preserve">KB-ESOPS-001  |  Version 1.0  |  Internal Use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color w:val="6B7B91"/>
        <w:sz w:val="17"/>
      </w:rPr>
      <w:t>ENTERPRISE SUPPORT OPERATIONS  |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2536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mbria" w:hAnsi="Cambria"/>
      <w:b/>
      <w:bCs/>
      <w:color w:val="1F4474"/>
      <w:sz w:val="31"/>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mbria" w:hAnsi="Cambria"/>
      <w:b/>
      <w:bCs/>
      <w:color w:val="2B67B1"/>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mbria" w:hAnsi="Cambria"/>
      <w:b/>
      <w:bCs/>
      <w:color w:val="2B67B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