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before="0" w:line="252" w:lineRule="auto"/>
        <w:jc w:val="center"/>
      </w:pPr>
      <w:r>
        <w:rPr>
          <w:rFonts w:ascii="Aptos" w:hAnsi="Aptos"/>
          <w:b/>
          <w:color w:val="1F5AA6"/>
          <w:sz w:val="22"/>
        </w:rPr>
        <w:t>STANDARD OPERATING PROCEDURE</w:t>
      </w:r>
    </w:p>
    <w:p>
      <w:pPr>
        <w:spacing w:after="120" w:before="0" w:line="252" w:lineRule="auto"/>
        <w:jc w:val="center"/>
      </w:pPr>
      <w:r>
        <w:rPr>
          <w:rFonts w:ascii="Aptos" w:hAnsi="Aptos"/>
          <w:b/>
          <w:color w:val="17365D"/>
          <w:sz w:val="52"/>
        </w:rPr>
        <w:t>Enterprise Complaint Routing &amp; Resolution</w:t>
      </w:r>
    </w:p>
    <w:p>
      <w:pPr>
        <w:spacing w:after="480" w:before="0" w:line="252" w:lineRule="auto"/>
        <w:jc w:val="center"/>
      </w:pPr>
      <w:r>
        <w:rPr>
          <w:rFonts w:ascii="Aptos" w:hAnsi="Aptos"/>
          <w:color w:val="68778A"/>
          <w:sz w:val="24"/>
        </w:rPr>
        <w:t>AI-assisted intake, workforce-aware assignment, SLA control and resolver execution</w:t>
      </w:r>
    </w:p>
    <w:tbl>
      <w:tblPr>
        <w:tblW w:type="auto" w:w="0"/>
        <w:jc w:val="center"/>
        <w:tblLayout w:type="fixed"/>
        <w:tblLook w:firstColumn="1" w:firstRow="1" w:lastColumn="0" w:lastRow="0" w:noHBand="0" w:noVBand="1" w:val="04A0"/>
      </w:tblPr>
      <w:tblGrid>
        <w:gridCol w:w="5184"/>
        <w:gridCol w:w="5184"/>
      </w:tblGrid>
      <w:tr>
        <w:trPr>
          <w:cantSplit/>
        </w:trPr>
        <w:tc>
          <w:tcPr>
            <w:tcW w:type="dxa" w:w="3024"/>
            <w:shd w:fill="17365D"/>
            <w:tcBorders>
              <w:top w:sz="4" w:val="single" w:color="D9E3ED"/>
              <w:left w:sz="4" w:val="single" w:color="D9E3ED"/>
              <w:bottom w:sz="4" w:val="single" w:color="D9E3ED"/>
              <w:right w:sz="4" w:val="single" w:color="D9E3ED"/>
            </w:tcBorders>
          </w:tcPr>
          <w:p>
            <w:r/>
            <w:r>
              <w:rPr>
                <w:rFonts w:ascii="Aptos" w:hAnsi="Aptos"/>
                <w:b/>
                <w:color w:val="FFFFFF"/>
                <w:sz w:val="18"/>
              </w:rPr>
              <w:t>Document ID</w:t>
            </w:r>
          </w:p>
        </w:tc>
        <w:tc>
          <w:tcPr>
            <w:tcW w:type="dxa" w:w="6192"/>
            <w:shd w:fill="F5F8FB"/>
            <w:tcBorders>
              <w:top w:sz="4" w:val="single" w:color="D9E3ED"/>
              <w:left w:sz="4" w:val="single" w:color="D9E3ED"/>
              <w:bottom w:sz="4" w:val="single" w:color="D9E3ED"/>
              <w:right w:sz="4" w:val="single" w:color="D9E3ED"/>
            </w:tcBorders>
          </w:tcPr>
          <w:p>
            <w:r/>
            <w:r>
              <w:rPr>
                <w:rFonts w:ascii="Aptos" w:hAnsi="Aptos"/>
                <w:b w:val="0"/>
                <w:color w:val="243447"/>
                <w:sz w:val="18"/>
              </w:rPr>
              <w:t>SOP-ESOPS-001</w:t>
            </w:r>
          </w:p>
        </w:tc>
      </w:tr>
      <w:tr>
        <w:trPr>
          <w:cantSplit/>
        </w:trPr>
        <w:tc>
          <w:tcPr>
            <w:tcW w:type="dxa" w:w="3024"/>
            <w:shd w:fill="17365D"/>
            <w:tcBorders>
              <w:top w:sz="4" w:val="single" w:color="D9E3ED"/>
              <w:left w:sz="4" w:val="single" w:color="D9E3ED"/>
              <w:bottom w:sz="4" w:val="single" w:color="D9E3ED"/>
              <w:right w:sz="4" w:val="single" w:color="D9E3ED"/>
            </w:tcBorders>
          </w:tcPr>
          <w:p>
            <w:r/>
            <w:r>
              <w:rPr>
                <w:rFonts w:ascii="Aptos" w:hAnsi="Aptos"/>
                <w:b/>
                <w:color w:val="FFFFFF"/>
                <w:sz w:val="18"/>
              </w:rPr>
              <w:t>Version</w:t>
            </w:r>
          </w:p>
        </w:tc>
        <w:tc>
          <w:tcPr>
            <w:tcW w:type="dxa" w:w="6192"/>
            <w:shd w:fill="F5F8FB"/>
            <w:tcBorders>
              <w:top w:sz="4" w:val="single" w:color="D9E3ED"/>
              <w:left w:sz="4" w:val="single" w:color="D9E3ED"/>
              <w:bottom w:sz="4" w:val="single" w:color="D9E3ED"/>
              <w:right w:sz="4" w:val="single" w:color="D9E3ED"/>
            </w:tcBorders>
          </w:tcPr>
          <w:p>
            <w:r/>
            <w:r>
              <w:rPr>
                <w:rFonts w:ascii="Aptos" w:hAnsi="Aptos"/>
                <w:b w:val="0"/>
                <w:color w:val="243447"/>
                <w:sz w:val="18"/>
              </w:rPr>
              <w:t>1.0</w:t>
            </w:r>
          </w:p>
        </w:tc>
      </w:tr>
      <w:tr>
        <w:trPr>
          <w:cantSplit/>
        </w:trPr>
        <w:tc>
          <w:tcPr>
            <w:tcW w:type="dxa" w:w="3024"/>
            <w:shd w:fill="17365D"/>
            <w:tcBorders>
              <w:top w:sz="4" w:val="single" w:color="D9E3ED"/>
              <w:left w:sz="4" w:val="single" w:color="D9E3ED"/>
              <w:bottom w:sz="4" w:val="single" w:color="D9E3ED"/>
              <w:right w:sz="4" w:val="single" w:color="D9E3ED"/>
            </w:tcBorders>
          </w:tcPr>
          <w:p>
            <w:r/>
            <w:r>
              <w:rPr>
                <w:rFonts w:ascii="Aptos" w:hAnsi="Aptos"/>
                <w:b/>
                <w:color w:val="FFFFFF"/>
                <w:sz w:val="18"/>
              </w:rPr>
              <w:t>Document Owner</w:t>
            </w:r>
          </w:p>
        </w:tc>
        <w:tc>
          <w:tcPr>
            <w:tcW w:type="dxa" w:w="6192"/>
            <w:shd w:fill="F5F8FB"/>
            <w:tcBorders>
              <w:top w:sz="4" w:val="single" w:color="D9E3ED"/>
              <w:left w:sz="4" w:val="single" w:color="D9E3ED"/>
              <w:bottom w:sz="4" w:val="single" w:color="D9E3ED"/>
              <w:right w:sz="4" w:val="single" w:color="D9E3ED"/>
            </w:tcBorders>
          </w:tcPr>
          <w:p>
            <w:r/>
            <w:r>
              <w:rPr>
                <w:rFonts w:ascii="Aptos" w:hAnsi="Aptos"/>
                <w:b w:val="0"/>
                <w:color w:val="243447"/>
                <w:sz w:val="18"/>
              </w:rPr>
              <w:t>Enterprise Support Operations</w:t>
            </w:r>
          </w:p>
        </w:tc>
      </w:tr>
      <w:tr>
        <w:trPr>
          <w:cantSplit/>
        </w:trPr>
        <w:tc>
          <w:tcPr>
            <w:tcW w:type="dxa" w:w="3024"/>
            <w:shd w:fill="17365D"/>
            <w:tcBorders>
              <w:top w:sz="4" w:val="single" w:color="D9E3ED"/>
              <w:left w:sz="4" w:val="single" w:color="D9E3ED"/>
              <w:bottom w:sz="4" w:val="single" w:color="D9E3ED"/>
              <w:right w:sz="4" w:val="single" w:color="D9E3ED"/>
            </w:tcBorders>
          </w:tcPr>
          <w:p>
            <w:r/>
            <w:r>
              <w:rPr>
                <w:rFonts w:ascii="Aptos" w:hAnsi="Aptos"/>
                <w:b/>
                <w:color w:val="FFFFFF"/>
                <w:sz w:val="18"/>
              </w:rPr>
              <w:t>Classification</w:t>
            </w:r>
          </w:p>
        </w:tc>
        <w:tc>
          <w:tcPr>
            <w:tcW w:type="dxa" w:w="6192"/>
            <w:shd w:fill="F5F8FB"/>
            <w:tcBorders>
              <w:top w:sz="4" w:val="single" w:color="D9E3ED"/>
              <w:left w:sz="4" w:val="single" w:color="D9E3ED"/>
              <w:bottom w:sz="4" w:val="single" w:color="D9E3ED"/>
              <w:right w:sz="4" w:val="single" w:color="D9E3ED"/>
            </w:tcBorders>
          </w:tcPr>
          <w:p>
            <w:r/>
            <w:r>
              <w:rPr>
                <w:rFonts w:ascii="Aptos" w:hAnsi="Aptos"/>
                <w:b w:val="0"/>
                <w:color w:val="243447"/>
                <w:sz w:val="18"/>
              </w:rPr>
              <w:t>Internal Use / Controlled</w:t>
            </w:r>
          </w:p>
        </w:tc>
      </w:tr>
      <w:tr>
        <w:trPr>
          <w:cantSplit/>
        </w:trPr>
        <w:tc>
          <w:tcPr>
            <w:tcW w:type="dxa" w:w="3024"/>
            <w:shd w:fill="17365D"/>
            <w:tcBorders>
              <w:top w:sz="4" w:val="single" w:color="D9E3ED"/>
              <w:left w:sz="4" w:val="single" w:color="D9E3ED"/>
              <w:bottom w:sz="4" w:val="single" w:color="D9E3ED"/>
              <w:right w:sz="4" w:val="single" w:color="D9E3ED"/>
            </w:tcBorders>
          </w:tcPr>
          <w:p>
            <w:r/>
            <w:r>
              <w:rPr>
                <w:rFonts w:ascii="Aptos" w:hAnsi="Aptos"/>
                <w:b/>
                <w:color w:val="FFFFFF"/>
                <w:sz w:val="18"/>
              </w:rPr>
              <w:t>Effective Date</w:t>
            </w:r>
          </w:p>
        </w:tc>
        <w:tc>
          <w:tcPr>
            <w:tcW w:type="dxa" w:w="6192"/>
            <w:shd w:fill="F5F8FB"/>
            <w:tcBorders>
              <w:top w:sz="4" w:val="single" w:color="D9E3ED"/>
              <w:left w:sz="4" w:val="single" w:color="D9E3ED"/>
              <w:bottom w:sz="4" w:val="single" w:color="D9E3ED"/>
              <w:right w:sz="4" w:val="single" w:color="D9E3ED"/>
            </w:tcBorders>
          </w:tcPr>
          <w:p>
            <w:r/>
            <w:r>
              <w:rPr>
                <w:rFonts w:ascii="Aptos" w:hAnsi="Aptos"/>
                <w:b w:val="0"/>
                <w:color w:val="243447"/>
                <w:sz w:val="18"/>
              </w:rPr>
              <w:t>25 August 2026</w:t>
            </w:r>
          </w:p>
        </w:tc>
      </w:tr>
    </w:tbl>
    <w:p>
      <w:pPr>
        <w:spacing w:after="40" w:before="0" w:line="252" w:lineRule="auto"/>
      </w:pPr>
    </w:p>
    <w:tbl>
      <w:tblPr>
        <w:tblW w:type="auto" w:w="0"/>
        <w:jc w:val="center"/>
        <w:tblLook w:firstColumn="1" w:firstRow="1" w:lastColumn="0" w:lastRow="0" w:noHBand="0" w:noVBand="1" w:val="04A0"/>
      </w:tblPr>
      <w:tblGrid>
        <w:gridCol w:w="10368"/>
      </w:tblGrid>
      <w:tr>
        <w:trPr>
          <w:cantSplit/>
        </w:trPr>
        <w:tc>
          <w:tcPr>
            <w:tcW w:type="dxa" w:w="10368"/>
            <w:shd w:fill="F2F6FA"/>
            <w:tcBorders>
              <w:top w:sz="8" w:val="single" w:color="D9E3ED"/>
              <w:left w:sz="16" w:val="single" w:color="1F5AA6"/>
              <w:bottom w:sz="8" w:val="single" w:color="D9E3ED"/>
              <w:right w:sz="8" w:val="single" w:color="D9E3ED"/>
            </w:tcBorders>
          </w:tcPr>
          <w:p>
            <w:pPr>
              <w:spacing w:after="0"/>
            </w:pPr>
            <w:r>
              <w:rPr>
                <w:rFonts w:ascii="Aptos" w:hAnsi="Aptos"/>
                <w:b/>
                <w:color w:val="17365D"/>
                <w:sz w:val="17"/>
              </w:rPr>
              <w:t>CONTROL NOTICE</w:t>
            </w:r>
            <w:r>
              <w:rPr>
                <w:rFonts w:ascii="Aptos" w:hAnsi="Aptos"/>
                <w:color w:val="243447"/>
                <w:sz w:val="16"/>
              </w:rPr>
              <w:br/>
              <w:t>This sample is designed as a corporate SOP template for an enterprise complaint-routing platform. Operational values, approval authorities and escalation contacts must be validated before production use.</w:t>
            </w:r>
          </w:p>
        </w:tc>
      </w:tr>
    </w:tbl>
    <w:p>
      <w:pPr>
        <w:spacing w:after="0"/>
      </w:pPr>
    </w:p>
    <w:p>
      <w:pPr>
        <w:spacing w:after="10" w:before="0" w:line="252" w:lineRule="auto"/>
      </w:pPr>
    </w:p>
    <w:p>
      <w:pPr>
        <w:spacing w:after="10" w:before="0" w:line="252" w:lineRule="auto"/>
        <w:jc w:val="center"/>
      </w:pPr>
      <w:r>
        <w:rPr>
          <w:rFonts w:ascii="Aptos" w:hAnsi="Aptos"/>
          <w:color w:val="68778A"/>
          <w:sz w:val="17"/>
        </w:rPr>
        <w:t>Prepared for: Service Desk, Support Operations, Resolver Teams, Incident Management and Platform Administration</w:t>
      </w:r>
    </w:p>
    <w:p>
      <w:r>
        <w:br w:type="page"/>
      </w:r>
    </w:p>
    <w:p>
      <w:pPr>
        <w:keepNext/>
        <w:spacing w:before="60" w:after="80"/>
        <w:pBdr>
          <w:bottom w:val="single" w:sz="8" w:space="4" w:color="1F5AA6"/>
        </w:pBdr>
      </w:pPr>
      <w:r>
        <w:rPr>
          <w:rFonts w:ascii="Aptos" w:hAnsi="Aptos"/>
          <w:b/>
          <w:color w:val="17365D"/>
          <w:sz w:val="28"/>
        </w:rPr>
        <w:t>1. Document Control and Governance</w:t>
      </w:r>
    </w:p>
    <w:p>
      <w:pPr>
        <w:spacing w:after="80" w:before="0" w:line="252" w:lineRule="auto"/>
      </w:pPr>
      <w:r>
        <w:rPr>
          <w:rFonts w:ascii="Aptos" w:hAnsi="Aptos"/>
          <w:color w:val="243447"/>
          <w:sz w:val="17"/>
        </w:rPr>
        <w:t>This procedure defines the controlled operating model for receiving, classifying, prioritizing, routing, assigning, resolving and closing customer complaints through the Enterprise Complaint Routing platform. It is intended for operational use by customer support, service desk, resolver teams, operations managers and platform administrators.</w:t>
      </w:r>
    </w:p>
    <w:p>
      <w:pPr>
        <w:keepNext/>
        <w:spacing w:before="20" w:after="60"/>
      </w:pPr>
      <w:r>
        <w:rPr>
          <w:rFonts w:ascii="Aptos" w:hAnsi="Aptos"/>
          <w:b/>
          <w:color w:val="1F5AA6"/>
          <w:sz w:val="21"/>
        </w:rPr>
        <w:t>1.1 Approval and Review</w:t>
      </w:r>
    </w:p>
    <w:tbl>
      <w:tblPr>
        <w:tblW w:type="auto" w:w="0"/>
        <w:jc w:val="center"/>
        <w:tblLayout w:type="fixed"/>
        <w:tblLook w:firstColumn="1" w:firstRow="1" w:lastColumn="0" w:lastRow="0" w:noHBand="0" w:noVBand="1" w:val="04A0"/>
      </w:tblPr>
      <w:tblGrid>
        <w:gridCol w:w="5184"/>
        <w:gridCol w:w="5184"/>
      </w:tblGrid>
      <w:tr>
        <w:trPr>
          <w:cantSplit/>
        </w:trPr>
        <w:tc>
          <w:tcPr>
            <w:tcW w:type="dxa" w:w="2376"/>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Control</w:t>
            </w:r>
          </w:p>
        </w:tc>
        <w:tc>
          <w:tcPr>
            <w:tcW w:type="dxa" w:w="6840"/>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Requirement</w:t>
            </w:r>
          </w:p>
        </w:tc>
      </w:tr>
      <w:tr>
        <w:trPr>
          <w:cantSplit/>
        </w:trPr>
        <w:tc>
          <w:tcPr>
            <w:tcW w:type="dxa" w:w="23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Owner</w:t>
            </w:r>
          </w:p>
        </w:tc>
        <w:tc>
          <w:tcPr>
            <w:tcW w:type="dxa" w:w="684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Enterprise Support Operations</w:t>
            </w:r>
          </w:p>
        </w:tc>
      </w:tr>
      <w:tr>
        <w:trPr>
          <w:cantSplit/>
        </w:trPr>
        <w:tc>
          <w:tcPr>
            <w:tcW w:type="dxa" w:w="237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Approver</w:t>
            </w:r>
          </w:p>
        </w:tc>
        <w:tc>
          <w:tcPr>
            <w:tcW w:type="dxa" w:w="684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Head of Service Operations or delegated authority</w:t>
            </w:r>
          </w:p>
        </w:tc>
      </w:tr>
      <w:tr>
        <w:trPr>
          <w:cantSplit/>
        </w:trPr>
        <w:tc>
          <w:tcPr>
            <w:tcW w:type="dxa" w:w="23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Review cycle</w:t>
            </w:r>
          </w:p>
        </w:tc>
        <w:tc>
          <w:tcPr>
            <w:tcW w:type="dxa" w:w="684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At least annually and after material process, SLA, routing or regulatory changes</w:t>
            </w:r>
          </w:p>
        </w:tc>
      </w:tr>
      <w:tr>
        <w:trPr>
          <w:cantSplit/>
        </w:trPr>
        <w:tc>
          <w:tcPr>
            <w:tcW w:type="dxa" w:w="237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Change trigger</w:t>
            </w:r>
          </w:p>
        </w:tc>
        <w:tc>
          <w:tcPr>
            <w:tcW w:type="dxa" w:w="684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New resolver teams, SLA policy changes, routing-model changes, major incidents or audit findings</w:t>
            </w:r>
          </w:p>
        </w:tc>
      </w:tr>
      <w:tr>
        <w:trPr>
          <w:cantSplit/>
        </w:trPr>
        <w:tc>
          <w:tcPr>
            <w:tcW w:type="dxa" w:w="23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Record retention</w:t>
            </w:r>
          </w:p>
        </w:tc>
        <w:tc>
          <w:tcPr>
            <w:tcW w:type="dxa" w:w="684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Ticket history, assignment decisions, status transitions and audit records retained per enterprise retention policy</w:t>
            </w:r>
          </w:p>
        </w:tc>
      </w:tr>
    </w:tbl>
    <w:p>
      <w:pPr>
        <w:spacing w:after="0"/>
      </w:pPr>
    </w:p>
    <w:p>
      <w:pPr>
        <w:keepNext/>
        <w:spacing w:before="20" w:after="60"/>
      </w:pPr>
      <w:r>
        <w:rPr>
          <w:rFonts w:ascii="Aptos" w:hAnsi="Aptos"/>
          <w:b/>
          <w:color w:val="1F5AA6"/>
          <w:sz w:val="21"/>
        </w:rPr>
        <w:t>1.2 Roles and Accountability</w:t>
      </w:r>
    </w:p>
    <w:tbl>
      <w:tblPr>
        <w:tblW w:type="auto" w:w="0"/>
        <w:jc w:val="center"/>
        <w:tblLayout w:type="fixed"/>
        <w:tblLook w:firstColumn="1" w:firstRow="1" w:lastColumn="0" w:lastRow="0" w:noHBand="0" w:noVBand="1" w:val="04A0"/>
      </w:tblPr>
      <w:tblGrid>
        <w:gridCol w:w="5184"/>
        <w:gridCol w:w="5184"/>
      </w:tblGrid>
      <w:tr>
        <w:trPr>
          <w:cantSplit/>
        </w:trPr>
        <w:tc>
          <w:tcPr>
            <w:tcW w:type="dxa" w:w="2376"/>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Role</w:t>
            </w:r>
          </w:p>
        </w:tc>
        <w:tc>
          <w:tcPr>
            <w:tcW w:type="dxa" w:w="6840"/>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Primary accountability</w:t>
            </w:r>
          </w:p>
        </w:tc>
      </w:tr>
      <w:tr>
        <w:trPr>
          <w:cantSplit/>
        </w:trPr>
        <w:tc>
          <w:tcPr>
            <w:tcW w:type="dxa" w:w="23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Customer</w:t>
            </w:r>
          </w:p>
        </w:tc>
        <w:tc>
          <w:tcPr>
            <w:tcW w:type="dxa" w:w="684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Submit accurate information, provide requested evidence and respond to resolver questions.</w:t>
            </w:r>
          </w:p>
        </w:tc>
      </w:tr>
      <w:tr>
        <w:trPr>
          <w:cantSplit/>
        </w:trPr>
        <w:tc>
          <w:tcPr>
            <w:tcW w:type="dxa" w:w="237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Service Desk / Intake</w:t>
            </w:r>
          </w:p>
        </w:tc>
        <w:tc>
          <w:tcPr>
            <w:tcW w:type="dxa" w:w="684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Validate intake, monitor queues and ensure unassigned work is acted upon.</w:t>
            </w:r>
          </w:p>
        </w:tc>
      </w:tr>
      <w:tr>
        <w:trPr>
          <w:cantSplit/>
        </w:trPr>
        <w:tc>
          <w:tcPr>
            <w:tcW w:type="dxa" w:w="23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Resolver</w:t>
            </w:r>
          </w:p>
        </w:tc>
        <w:tc>
          <w:tcPr>
            <w:tcW w:type="dxa" w:w="684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Investigate, communicate, update status, document actions and resolve tickets.</w:t>
            </w:r>
          </w:p>
        </w:tc>
      </w:tr>
      <w:tr>
        <w:trPr>
          <w:cantSplit/>
        </w:trPr>
        <w:tc>
          <w:tcPr>
            <w:tcW w:type="dxa" w:w="237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Operations Admin</w:t>
            </w:r>
          </w:p>
        </w:tc>
        <w:tc>
          <w:tcPr>
            <w:tcW w:type="dxa" w:w="684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Override assignment when necessary, manage workforce capacity and monitor operational risk.</w:t>
            </w:r>
          </w:p>
        </w:tc>
      </w:tr>
      <w:tr>
        <w:trPr>
          <w:cantSplit/>
        </w:trPr>
        <w:tc>
          <w:tcPr>
            <w:tcW w:type="dxa" w:w="23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Operations Manager</w:t>
            </w:r>
          </w:p>
        </w:tc>
        <w:tc>
          <w:tcPr>
            <w:tcW w:type="dxa" w:w="684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Own escalations, approve exceptional routing or capacity decisions and review SLA breaches.</w:t>
            </w:r>
          </w:p>
        </w:tc>
      </w:tr>
      <w:tr>
        <w:trPr>
          <w:cantSplit/>
        </w:trPr>
        <w:tc>
          <w:tcPr>
            <w:tcW w:type="dxa" w:w="237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Platform Administrator</w:t>
            </w:r>
          </w:p>
        </w:tc>
        <w:tc>
          <w:tcPr>
            <w:tcW w:type="dxa" w:w="684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Maintain configuration, access, integrations, knowledge assets and system availability.</w:t>
            </w:r>
          </w:p>
        </w:tc>
      </w:tr>
    </w:tbl>
    <w:p>
      <w:pPr>
        <w:spacing w:after="0"/>
      </w:pPr>
    </w:p>
    <w:p>
      <w:pPr>
        <w:keepNext/>
        <w:spacing w:before="20" w:after="60"/>
      </w:pPr>
      <w:r>
        <w:rPr>
          <w:rFonts w:ascii="Aptos" w:hAnsi="Aptos"/>
          <w:b/>
          <w:color w:val="1F5AA6"/>
          <w:sz w:val="21"/>
        </w:rPr>
        <w:t>1.3 Procedure Map</w:t>
      </w:r>
    </w:p>
    <w:p>
      <w:pPr>
        <w:pStyle w:val="ListBullet"/>
        <w:spacing w:after="50" w:line="245" w:lineRule="auto"/>
      </w:pPr>
      <w:r>
        <w:rPr>
          <w:rFonts w:ascii="Aptos" w:hAnsi="Aptos"/>
          <w:color w:val="243447"/>
          <w:sz w:val="16"/>
        </w:rPr>
        <w:t>Intake → AI analysis → priority determination → SLA calculation → team routing → resolver selection → execution → verification → resolution → closure.</w:t>
      </w:r>
    </w:p>
    <w:p>
      <w:pPr>
        <w:pStyle w:val="ListBullet"/>
        <w:spacing w:after="50" w:line="245" w:lineRule="auto"/>
      </w:pPr>
      <w:r>
        <w:rPr>
          <w:rFonts w:ascii="Aptos" w:hAnsi="Aptos"/>
          <w:color w:val="243447"/>
          <w:sz w:val="16"/>
        </w:rPr>
        <w:t>Automatic assignment is the default path. Manual assignment is an authorized operational override when no eligible resolver is available or urgent intervention is required.</w:t>
      </w:r>
    </w:p>
    <w:p>
      <w:pPr>
        <w:pStyle w:val="ListBullet"/>
        <w:spacing w:after="50" w:line="245" w:lineRule="auto"/>
      </w:pPr>
      <w:r>
        <w:rPr>
          <w:rFonts w:ascii="Aptos" w:hAnsi="Aptos"/>
          <w:color w:val="243447"/>
          <w:sz w:val="16"/>
        </w:rPr>
        <w:t>IN_PROGRESS requires an assigned resolver. Assignment alone does not mean work has started.</w:t>
      </w:r>
    </w:p>
    <w:tbl>
      <w:tblPr>
        <w:tblW w:type="auto" w:w="0"/>
        <w:jc w:val="center"/>
        <w:tblLook w:firstColumn="1" w:firstRow="1" w:lastColumn="0" w:lastRow="0" w:noHBand="0" w:noVBand="1" w:val="04A0"/>
      </w:tblPr>
      <w:tblGrid>
        <w:gridCol w:w="10368"/>
      </w:tblGrid>
      <w:tr>
        <w:trPr>
          <w:cantSplit/>
        </w:trPr>
        <w:tc>
          <w:tcPr>
            <w:tcW w:type="dxa" w:w="10368"/>
            <w:shd w:fill="FFF7E6"/>
            <w:tcBorders>
              <w:top w:sz="8" w:val="single" w:color="D9E3ED"/>
              <w:left w:sz="16" w:val="single" w:color="1F5AA6"/>
              <w:bottom w:sz="8" w:val="single" w:color="D9E3ED"/>
              <w:right w:sz="8" w:val="single" w:color="D9E3ED"/>
            </w:tcBorders>
          </w:tcPr>
          <w:p>
            <w:pPr>
              <w:spacing w:after="0"/>
            </w:pPr>
            <w:r>
              <w:rPr>
                <w:rFonts w:ascii="Aptos" w:hAnsi="Aptos"/>
                <w:b/>
                <w:color w:val="9A6700"/>
                <w:sz w:val="17"/>
              </w:rPr>
              <w:t>OPERATING PRINCIPLE</w:t>
            </w:r>
            <w:r>
              <w:rPr>
                <w:rFonts w:ascii="Aptos" w:hAnsi="Aptos"/>
                <w:color w:val="243447"/>
                <w:sz w:val="16"/>
              </w:rPr>
              <w:br/>
              <w:t>The platform provides recommendations; the accountable operator remains responsible for the final operational decision in exceptions, high-impact cases and manual overrides.</w:t>
            </w:r>
          </w:p>
        </w:tc>
      </w:tr>
    </w:tbl>
    <w:p>
      <w:pPr>
        <w:spacing w:after="0"/>
      </w:pPr>
    </w:p>
    <w:p>
      <w:r>
        <w:br w:type="page"/>
      </w:r>
    </w:p>
    <w:p>
      <w:pPr>
        <w:keepNext/>
        <w:spacing w:before="60" w:after="80"/>
        <w:pBdr>
          <w:bottom w:val="single" w:sz="8" w:space="4" w:color="1F5AA6"/>
        </w:pBdr>
      </w:pPr>
      <w:r>
        <w:rPr>
          <w:rFonts w:ascii="Aptos" w:hAnsi="Aptos"/>
          <w:b/>
          <w:color w:val="17365D"/>
          <w:sz w:val="28"/>
        </w:rPr>
        <w:t>2. Intake and AI Triage Procedure</w:t>
      </w:r>
    </w:p>
    <w:p>
      <w:pPr>
        <w:keepNext/>
        <w:spacing w:before="20" w:after="60"/>
      </w:pPr>
      <w:r>
        <w:rPr>
          <w:rFonts w:ascii="Aptos" w:hAnsi="Aptos"/>
          <w:b/>
          <w:color w:val="1F5AA6"/>
          <w:sz w:val="21"/>
        </w:rPr>
        <w:t>2.1 Intake Requirements</w:t>
      </w:r>
    </w:p>
    <w:p>
      <w:pPr>
        <w:spacing w:after="80" w:before="0" w:line="252" w:lineRule="auto"/>
      </w:pPr>
      <w:r>
        <w:rPr>
          <w:rFonts w:ascii="Aptos" w:hAnsi="Aptos"/>
          <w:color w:val="243447"/>
          <w:sz w:val="17"/>
        </w:rPr>
        <w:t>Every complaint must contain enough information to identify the customer, understand the requested outcome and determine operational impact. The intake interface may use free-text description plus optional customer-provided priority. The platform then performs structured analysis.</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2088"/>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Required element</w:t>
            </w:r>
          </w:p>
        </w:tc>
        <w:tc>
          <w:tcPr>
            <w:tcW w:type="dxa" w:w="4464"/>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Expected handling</w:t>
            </w:r>
          </w:p>
        </w:tc>
        <w:tc>
          <w:tcPr>
            <w:tcW w:type="dxa" w:w="4320"/>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Operator action if missing</w:t>
            </w:r>
          </w:p>
        </w:tc>
      </w:tr>
      <w:tr>
        <w:trPr>
          <w:cantSplit/>
        </w:trPr>
        <w:tc>
          <w:tcPr>
            <w:tcW w:type="dxa" w:w="208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Customer identity</w:t>
            </w:r>
          </w:p>
        </w:tc>
        <w:tc>
          <w:tcPr>
            <w:tcW w:type="dxa" w:w="446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Match request to known customer/user identity where supported.</w:t>
            </w:r>
          </w:p>
        </w:tc>
        <w:tc>
          <w:tcPr>
            <w:tcW w:type="dxa" w:w="432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Do not expose internal ticket details until identity is verified.</w:t>
            </w:r>
          </w:p>
        </w:tc>
      </w:tr>
      <w:tr>
        <w:trPr>
          <w:cantSplit/>
        </w:trPr>
        <w:tc>
          <w:tcPr>
            <w:tcW w:type="dxa" w:w="208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Complaint description</w:t>
            </w:r>
          </w:p>
        </w:tc>
        <w:tc>
          <w:tcPr>
            <w:tcW w:type="dxa" w:w="446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Capture the event, symptom, time, affected service and desired outcome.</w:t>
            </w:r>
          </w:p>
        </w:tc>
        <w:tc>
          <w:tcPr>
            <w:tcW w:type="dxa" w:w="432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Request clarification if the issue cannot be operationally understood.</w:t>
            </w:r>
          </w:p>
        </w:tc>
      </w:tr>
      <w:tr>
        <w:trPr>
          <w:cantSplit/>
        </w:trPr>
        <w:tc>
          <w:tcPr>
            <w:tcW w:type="dxa" w:w="208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Business impact</w:t>
            </w:r>
          </w:p>
        </w:tc>
        <w:tc>
          <w:tcPr>
            <w:tcW w:type="dxa" w:w="446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Identify affected users, transactions, payroll, revenue, security or availability impact.</w:t>
            </w:r>
          </w:p>
        </w:tc>
        <w:tc>
          <w:tcPr>
            <w:tcW w:type="dxa" w:w="432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Raise priority for material business impact using the priority policy.</w:t>
            </w:r>
          </w:p>
        </w:tc>
      </w:tr>
      <w:tr>
        <w:trPr>
          <w:cantSplit/>
        </w:trPr>
        <w:tc>
          <w:tcPr>
            <w:tcW w:type="dxa" w:w="208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Evidence</w:t>
            </w:r>
          </w:p>
        </w:tc>
        <w:tc>
          <w:tcPr>
            <w:tcW w:type="dxa" w:w="446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Capture screenshots, logs, invoices or other relevant files when applicable.</w:t>
            </w:r>
          </w:p>
        </w:tc>
        <w:tc>
          <w:tcPr>
            <w:tcW w:type="dxa" w:w="432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Request evidence before performing invasive or irreversible remediation.</w:t>
            </w:r>
          </w:p>
        </w:tc>
      </w:tr>
    </w:tbl>
    <w:p>
      <w:pPr>
        <w:spacing w:after="0"/>
      </w:pPr>
    </w:p>
    <w:p>
      <w:pPr>
        <w:keepNext/>
        <w:spacing w:before="20" w:after="60"/>
      </w:pPr>
      <w:r>
        <w:rPr>
          <w:rFonts w:ascii="Aptos" w:hAnsi="Aptos"/>
          <w:b/>
          <w:color w:val="1F5AA6"/>
          <w:sz w:val="21"/>
        </w:rPr>
        <w:t>2.2 AI Analysis</w:t>
      </w:r>
    </w:p>
    <w:p>
      <w:pPr>
        <w:pStyle w:val="ListNumber"/>
        <w:spacing w:after="50" w:line="245" w:lineRule="auto"/>
      </w:pPr>
      <w:r>
        <w:rPr>
          <w:rFonts w:ascii="Aptos" w:hAnsi="Aptos"/>
          <w:color w:val="243447"/>
          <w:sz w:val="16"/>
        </w:rPr>
        <w:t>Classify the ticket into category and subcategory.</w:t>
      </w:r>
    </w:p>
    <w:p>
      <w:pPr>
        <w:pStyle w:val="ListNumber"/>
        <w:spacing w:after="50" w:line="245" w:lineRule="auto"/>
      </w:pPr>
      <w:r>
        <w:rPr>
          <w:rFonts w:ascii="Aptos" w:hAnsi="Aptos"/>
          <w:color w:val="243447"/>
          <w:sz w:val="16"/>
        </w:rPr>
        <w:t>Extract customer intent, sentiment, emotion, business impact and operational keywords.</w:t>
      </w:r>
    </w:p>
    <w:p>
      <w:pPr>
        <w:pStyle w:val="ListNumber"/>
        <w:spacing w:after="50" w:line="245" w:lineRule="auto"/>
      </w:pPr>
      <w:r>
        <w:rPr>
          <w:rFonts w:ascii="Aptos" w:hAnsi="Aptos"/>
          <w:color w:val="243447"/>
          <w:sz w:val="16"/>
        </w:rPr>
        <w:t>Determine an AI priority score and recommended priority level.</w:t>
      </w:r>
    </w:p>
    <w:p>
      <w:pPr>
        <w:pStyle w:val="ListNumber"/>
        <w:spacing w:after="50" w:line="245" w:lineRule="auto"/>
      </w:pPr>
      <w:r>
        <w:rPr>
          <w:rFonts w:ascii="Aptos" w:hAnsi="Aptos"/>
          <w:color w:val="243447"/>
          <w:sz w:val="16"/>
        </w:rPr>
        <w:t>Calculate the SLA applicable to the final priority level and customer/service policy.</w:t>
      </w:r>
    </w:p>
    <w:p>
      <w:pPr>
        <w:pStyle w:val="ListNumber"/>
        <w:spacing w:after="50" w:line="245" w:lineRule="auto"/>
      </w:pPr>
      <w:r>
        <w:rPr>
          <w:rFonts w:ascii="Aptos" w:hAnsi="Aptos"/>
          <w:color w:val="243447"/>
          <w:sz w:val="16"/>
        </w:rPr>
        <w:t>Resolve the complaint to an operational team using the canonical team taxonomy.</w:t>
      </w:r>
    </w:p>
    <w:p>
      <w:pPr>
        <w:pStyle w:val="ListNumber"/>
        <w:spacing w:after="50" w:line="245" w:lineRule="auto"/>
      </w:pPr>
      <w:r>
        <w:rPr>
          <w:rFonts w:ascii="Aptos" w:hAnsi="Aptos"/>
          <w:color w:val="243447"/>
          <w:sz w:val="16"/>
        </w:rPr>
        <w:t>Evaluate the resolver workforce and assign the highest-scoring eligible resolver when possible.</w:t>
      </w:r>
    </w:p>
    <w:tbl>
      <w:tblPr>
        <w:tblW w:type="auto" w:w="0"/>
        <w:jc w:val="center"/>
        <w:tblLook w:firstColumn="1" w:firstRow="1" w:lastColumn="0" w:lastRow="0" w:noHBand="0" w:noVBand="1" w:val="04A0"/>
      </w:tblPr>
      <w:tblGrid>
        <w:gridCol w:w="10368"/>
      </w:tblGrid>
      <w:tr>
        <w:trPr>
          <w:cantSplit/>
        </w:trPr>
        <w:tc>
          <w:tcPr>
            <w:tcW w:type="dxa" w:w="10368"/>
            <w:shd w:fill="FFF0F0"/>
            <w:tcBorders>
              <w:top w:sz="8" w:val="single" w:color="D9E3ED"/>
              <w:left w:sz="16" w:val="single" w:color="1F5AA6"/>
              <w:bottom w:sz="8" w:val="single" w:color="D9E3ED"/>
              <w:right w:sz="8" w:val="single" w:color="D9E3ED"/>
            </w:tcBorders>
          </w:tcPr>
          <w:p>
            <w:pPr>
              <w:spacing w:after="0"/>
            </w:pPr>
            <w:r>
              <w:rPr>
                <w:rFonts w:ascii="Aptos" w:hAnsi="Aptos"/>
                <w:b/>
                <w:color w:val="B23A3A"/>
                <w:sz w:val="17"/>
              </w:rPr>
              <w:t>PRIORITY CONTROL</w:t>
            </w:r>
            <w:r>
              <w:rPr>
                <w:rFonts w:ascii="Aptos" w:hAnsi="Aptos"/>
                <w:color w:val="243447"/>
                <w:sz w:val="16"/>
              </w:rPr>
              <w:br/>
              <w:t>Customer-selected priority is a signal, not an authorization to bypass policy. The final priority may be increased when security, business impact, customer tier, urgency or other approved signals indicate greater operational risk.</w:t>
            </w:r>
          </w:p>
        </w:tc>
      </w:tr>
    </w:tbl>
    <w:p>
      <w:pPr>
        <w:spacing w:after="0"/>
      </w:pPr>
    </w:p>
    <w:p>
      <w:pPr>
        <w:keepNext/>
        <w:spacing w:before="20" w:after="60"/>
      </w:pPr>
      <w:r>
        <w:rPr>
          <w:rFonts w:ascii="Aptos" w:hAnsi="Aptos"/>
          <w:b/>
          <w:color w:val="1F5AA6"/>
          <w:sz w:val="21"/>
        </w:rPr>
        <w:t>2.3 Triage Decision Matrix</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1296"/>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Priority</w:t>
            </w:r>
          </w:p>
        </w:tc>
        <w:tc>
          <w:tcPr>
            <w:tcW w:type="dxa" w:w="6048"/>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Typical conditions</w:t>
            </w:r>
          </w:p>
        </w:tc>
        <w:tc>
          <w:tcPr>
            <w:tcW w:type="dxa" w:w="3672"/>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Operational target</w:t>
            </w:r>
          </w:p>
        </w:tc>
      </w:tr>
      <w:tr>
        <w:trPr>
          <w:cantSplit/>
        </w:trPr>
        <w:tc>
          <w:tcPr>
            <w:tcW w:type="dxa" w:w="129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Critical</w:t>
            </w:r>
          </w:p>
        </w:tc>
        <w:tc>
          <w:tcPr>
            <w:tcW w:type="dxa" w:w="604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Security compromise, major outage, material payroll/revenue impact, severe data exposure.</w:t>
            </w:r>
          </w:p>
        </w:tc>
        <w:tc>
          <w:tcPr>
            <w:tcW w:type="dxa" w:w="367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Immediate operational ownership; use on-call coverage where normal workforce is unavailable; active escalation monitoring.</w:t>
            </w:r>
          </w:p>
        </w:tc>
      </w:tr>
      <w:tr>
        <w:trPr>
          <w:cantSplit/>
        </w:trPr>
        <w:tc>
          <w:tcPr>
            <w:tcW w:type="dxa" w:w="129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High</w:t>
            </w:r>
          </w:p>
        </w:tc>
        <w:tc>
          <w:tcPr>
            <w:tcW w:type="dxa" w:w="604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Significant business disruption, repeated service failure, substantial user impact or urgent deadline.</w:t>
            </w:r>
          </w:p>
        </w:tc>
        <w:tc>
          <w:tcPr>
            <w:tcW w:type="dxa" w:w="367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Prompt assignment; monitor SLA exposure and workload concentration.</w:t>
            </w:r>
          </w:p>
        </w:tc>
      </w:tr>
      <w:tr>
        <w:trPr>
          <w:cantSplit/>
        </w:trPr>
        <w:tc>
          <w:tcPr>
            <w:tcW w:type="dxa" w:w="129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Medium</w:t>
            </w:r>
          </w:p>
        </w:tc>
        <w:tc>
          <w:tcPr>
            <w:tcW w:type="dxa" w:w="604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Meaningful issue with workaround or limited business impact.</w:t>
            </w:r>
          </w:p>
        </w:tc>
        <w:tc>
          <w:tcPr>
            <w:tcW w:type="dxa" w:w="367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Normal queue assignment within standard SLA.</w:t>
            </w:r>
          </w:p>
        </w:tc>
      </w:tr>
      <w:tr>
        <w:trPr>
          <w:cantSplit/>
        </w:trPr>
        <w:tc>
          <w:tcPr>
            <w:tcW w:type="dxa" w:w="129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Low</w:t>
            </w:r>
          </w:p>
        </w:tc>
        <w:tc>
          <w:tcPr>
            <w:tcW w:type="dxa" w:w="604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Information request, minor defect, feedback or low-impact issue.</w:t>
            </w:r>
          </w:p>
        </w:tc>
        <w:tc>
          <w:tcPr>
            <w:tcW w:type="dxa" w:w="367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Standard queue handling and normal prioritization.</w:t>
            </w:r>
          </w:p>
        </w:tc>
      </w:tr>
    </w:tbl>
    <w:p>
      <w:pPr>
        <w:spacing w:after="0"/>
      </w:pPr>
    </w:p>
    <w:p>
      <w:r>
        <w:br w:type="page"/>
      </w:r>
    </w:p>
    <w:p>
      <w:pPr>
        <w:keepNext/>
        <w:spacing w:before="60" w:after="80"/>
        <w:pBdr>
          <w:bottom w:val="single" w:sz="8" w:space="4" w:color="1F5AA6"/>
        </w:pBdr>
      </w:pPr>
      <w:r>
        <w:rPr>
          <w:rFonts w:ascii="Aptos" w:hAnsi="Aptos"/>
          <w:b/>
          <w:color w:val="17365D"/>
          <w:sz w:val="28"/>
        </w:rPr>
        <w:t>3. Team Routing and Resolver Assignment</w:t>
      </w:r>
    </w:p>
    <w:p>
      <w:pPr>
        <w:keepNext/>
        <w:spacing w:before="20" w:after="60"/>
      </w:pPr>
      <w:r>
        <w:rPr>
          <w:rFonts w:ascii="Aptos" w:hAnsi="Aptos"/>
          <w:b/>
          <w:color w:val="1F5AA6"/>
          <w:sz w:val="21"/>
        </w:rPr>
        <w:t>3.1 Canonical Team Routing</w:t>
      </w:r>
    </w:p>
    <w:p>
      <w:pPr>
        <w:spacing w:after="80" w:before="0" w:line="252" w:lineRule="auto"/>
      </w:pPr>
      <w:r>
        <w:rPr>
          <w:rFonts w:ascii="Aptos" w:hAnsi="Aptos"/>
          <w:color w:val="243447"/>
          <w:sz w:val="17"/>
        </w:rPr>
        <w:t>The platform must route tickets against canonical operational teams rather than relying on free-text labels. Legacy or business-facing names are normalized before workforce matching. Examples include Finance Team → Finance Operations and General Support → the appropriate operational team based on ticket content.</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1728"/>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Stage</w:t>
            </w:r>
          </w:p>
        </w:tc>
        <w:tc>
          <w:tcPr>
            <w:tcW w:type="dxa" w:w="5112"/>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Control</w:t>
            </w:r>
          </w:p>
        </w:tc>
        <w:tc>
          <w:tcPr>
            <w:tcW w:type="dxa" w:w="4176"/>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Decision</w:t>
            </w:r>
          </w:p>
        </w:tc>
      </w:tr>
      <w:tr>
        <w:trPr>
          <w:cantSplit/>
        </w:trPr>
        <w:tc>
          <w:tcPr>
            <w:tcW w:type="dxa" w:w="172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1. Team resolution</w:t>
            </w:r>
          </w:p>
        </w:tc>
        <w:tc>
          <w:tcPr>
            <w:tcW w:type="dxa" w:w="51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Normalize ticket team label and category/subcategory signals.</w:t>
            </w:r>
          </w:p>
        </w:tc>
        <w:tc>
          <w:tcPr>
            <w:tcW w:type="dxa" w:w="41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Canonical operational team selected.</w:t>
            </w:r>
          </w:p>
        </w:tc>
      </w:tr>
      <w:tr>
        <w:trPr>
          <w:cantSplit/>
        </w:trPr>
        <w:tc>
          <w:tcPr>
            <w:tcW w:type="dxa" w:w="172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2. Workforce filter</w:t>
            </w:r>
          </w:p>
        </w:tc>
        <w:tc>
          <w:tcPr>
            <w:tcW w:type="dxa" w:w="511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Check active status, assignment eligibility, shift, availability and capacity.</w:t>
            </w:r>
          </w:p>
        </w:tc>
        <w:tc>
          <w:tcPr>
            <w:tcW w:type="dxa" w:w="417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Ineligible resolvers excluded from automatic routing.</w:t>
            </w:r>
          </w:p>
        </w:tc>
      </w:tr>
      <w:tr>
        <w:trPr>
          <w:cantSplit/>
        </w:trPr>
        <w:tc>
          <w:tcPr>
            <w:tcW w:type="dxa" w:w="172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3. Skill fit</w:t>
            </w:r>
          </w:p>
        </w:tc>
        <w:tc>
          <w:tcPr>
            <w:tcW w:type="dxa" w:w="51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Compare required issue signals to resolver skill profile.</w:t>
            </w:r>
          </w:p>
        </w:tc>
        <w:tc>
          <w:tcPr>
            <w:tcW w:type="dxa" w:w="41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Candidate score calculated only after hard eligibility checks.</w:t>
            </w:r>
          </w:p>
        </w:tc>
      </w:tr>
      <w:tr>
        <w:trPr>
          <w:cantSplit/>
        </w:trPr>
        <w:tc>
          <w:tcPr>
            <w:tcW w:type="dxa" w:w="172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4. Workload health</w:t>
            </w:r>
          </w:p>
        </w:tc>
        <w:tc>
          <w:tcPr>
            <w:tcW w:type="dxa" w:w="511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Consider open tickets, effective workload and utilization.</w:t>
            </w:r>
          </w:p>
        </w:tc>
        <w:tc>
          <w:tcPr>
            <w:tcW w:type="dxa" w:w="417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Lower-load resolvers receive an advantage.</w:t>
            </w:r>
          </w:p>
        </w:tc>
      </w:tr>
      <w:tr>
        <w:trPr>
          <w:cantSplit/>
        </w:trPr>
        <w:tc>
          <w:tcPr>
            <w:tcW w:type="dxa" w:w="172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5. Priority load</w:t>
            </w:r>
          </w:p>
        </w:tc>
        <w:tc>
          <w:tcPr>
            <w:tcW w:type="dxa" w:w="51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Consider concentration of Critical/High work already owned by the resolver.</w:t>
            </w:r>
          </w:p>
        </w:tc>
        <w:tc>
          <w:tcPr>
            <w:tcW w:type="dxa" w:w="41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Avoid overloading the same resolver with urgent work.</w:t>
            </w:r>
          </w:p>
        </w:tc>
      </w:tr>
      <w:tr>
        <w:trPr>
          <w:cantSplit/>
        </w:trPr>
        <w:tc>
          <w:tcPr>
            <w:tcW w:type="dxa" w:w="172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6. Experience</w:t>
            </w:r>
          </w:p>
        </w:tc>
        <w:tc>
          <w:tcPr>
            <w:tcW w:type="dxa" w:w="511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Apply normalized experience score.</w:t>
            </w:r>
          </w:p>
        </w:tc>
        <w:tc>
          <w:tcPr>
            <w:tcW w:type="dxa" w:w="417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Higher experience supports complex/high-risk cases without overriding hard rules.</w:t>
            </w:r>
          </w:p>
        </w:tc>
      </w:tr>
      <w:tr>
        <w:trPr>
          <w:cantSplit/>
        </w:trPr>
        <w:tc>
          <w:tcPr>
            <w:tcW w:type="dxa" w:w="172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7. SLA exposure</w:t>
            </w:r>
          </w:p>
        </w:tc>
        <w:tc>
          <w:tcPr>
            <w:tcW w:type="dxa" w:w="51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Consider current breached or at-risk work.</w:t>
            </w:r>
          </w:p>
        </w:tc>
        <w:tc>
          <w:tcPr>
            <w:tcW w:type="dxa" w:w="417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Avoid assigning new urgent work to heavily SLA-exposed resolvers where alternatives exist.</w:t>
            </w:r>
          </w:p>
        </w:tc>
      </w:tr>
    </w:tbl>
    <w:p>
      <w:pPr>
        <w:spacing w:after="0"/>
      </w:pPr>
    </w:p>
    <w:p>
      <w:pPr>
        <w:keepNext/>
        <w:spacing w:before="20" w:after="60"/>
      </w:pPr>
      <w:r>
        <w:rPr>
          <w:rFonts w:ascii="Aptos" w:hAnsi="Aptos"/>
          <w:b/>
          <w:color w:val="1F5AA6"/>
          <w:sz w:val="21"/>
        </w:rPr>
        <w:t>3.2 Automatic Assignment</w:t>
      </w:r>
    </w:p>
    <w:p>
      <w:pPr>
        <w:pStyle w:val="ListNumber"/>
        <w:spacing w:after="50" w:line="245" w:lineRule="auto"/>
      </w:pPr>
      <w:r>
        <w:rPr>
          <w:rFonts w:ascii="Aptos" w:hAnsi="Aptos"/>
          <w:color w:val="243447"/>
          <w:sz w:val="16"/>
        </w:rPr>
        <w:t>The assignment engine evaluates normal-workforce candidates in the ticket’s operational team.</w:t>
      </w:r>
    </w:p>
    <w:p>
      <w:pPr>
        <w:pStyle w:val="ListNumber"/>
        <w:spacing w:after="50" w:line="245" w:lineRule="auto"/>
      </w:pPr>
      <w:r>
        <w:rPr>
          <w:rFonts w:ascii="Aptos" w:hAnsi="Aptos"/>
          <w:color w:val="243447"/>
          <w:sz w:val="16"/>
        </w:rPr>
        <w:t>The engine selects the highest-scoring eligible resolver and stores the assignment score and explanation.</w:t>
      </w:r>
    </w:p>
    <w:p>
      <w:pPr>
        <w:pStyle w:val="ListNumber"/>
        <w:spacing w:after="50" w:line="245" w:lineRule="auto"/>
      </w:pPr>
      <w:r>
        <w:rPr>
          <w:rFonts w:ascii="Aptos" w:hAnsi="Aptos"/>
          <w:color w:val="243447"/>
          <w:sz w:val="16"/>
        </w:rPr>
        <w:t>The ticket remains OPEN after assignment until the resolver explicitly starts work.</w:t>
      </w:r>
    </w:p>
    <w:p>
      <w:pPr>
        <w:pStyle w:val="ListNumber"/>
        <w:spacing w:after="50" w:line="245" w:lineRule="auto"/>
      </w:pPr>
      <w:r>
        <w:rPr>
          <w:rFonts w:ascii="Aptos" w:hAnsi="Aptos"/>
          <w:color w:val="243447"/>
          <w:sz w:val="16"/>
        </w:rPr>
        <w:t>The system creates an assignment event and notifies the customer and resolver according to the notification policy.</w:t>
      </w:r>
    </w:p>
    <w:p>
      <w:pPr>
        <w:keepNext/>
        <w:spacing w:before="20" w:after="60"/>
      </w:pPr>
      <w:r>
        <w:rPr>
          <w:rFonts w:ascii="Aptos" w:hAnsi="Aptos"/>
          <w:b/>
          <w:color w:val="1F5AA6"/>
          <w:sz w:val="21"/>
        </w:rPr>
        <w:t>3.3 Manual Assignment</w:t>
      </w:r>
    </w:p>
    <w:p>
      <w:pPr>
        <w:spacing w:after="80" w:before="0" w:line="252" w:lineRule="auto"/>
      </w:pPr>
      <w:r>
        <w:rPr>
          <w:rFonts w:ascii="Aptos" w:hAnsi="Aptos"/>
          <w:color w:val="243447"/>
          <w:sz w:val="17"/>
        </w:rPr>
        <w:t>When automatic assignment returns no eligible resolver, the ticket remains visible in the unassigned queue. An authorized administrator may manually assign the ticket to an active resolver in the correct operational team. Manual assignment may override capacity restrictions, but the interface must display an explicit capacity-override warning and record the decision in the audit trail.</w:t>
      </w:r>
    </w:p>
    <w:tbl>
      <w:tblPr>
        <w:tblW w:type="auto" w:w="0"/>
        <w:jc w:val="center"/>
        <w:tblLook w:firstColumn="1" w:firstRow="1" w:lastColumn="0" w:lastRow="0" w:noHBand="0" w:noVBand="1" w:val="04A0"/>
      </w:tblPr>
      <w:tblGrid>
        <w:gridCol w:w="10368"/>
      </w:tblGrid>
      <w:tr>
        <w:trPr>
          <w:cantSplit/>
        </w:trPr>
        <w:tc>
          <w:tcPr>
            <w:tcW w:type="dxa" w:w="10368"/>
            <w:shd w:fill="F2F6FA"/>
            <w:tcBorders>
              <w:top w:sz="8" w:val="single" w:color="D9E3ED"/>
              <w:left w:sz="16" w:val="single" w:color="1F5AA6"/>
              <w:bottom w:sz="8" w:val="single" w:color="D9E3ED"/>
              <w:right w:sz="8" w:val="single" w:color="D9E3ED"/>
            </w:tcBorders>
          </w:tcPr>
          <w:p>
            <w:pPr>
              <w:spacing w:after="0"/>
            </w:pPr>
            <w:r>
              <w:rPr>
                <w:rFonts w:ascii="Aptos" w:hAnsi="Aptos"/>
                <w:b/>
                <w:color w:val="17365D"/>
                <w:sz w:val="17"/>
              </w:rPr>
              <w:t>NO SILENT FAILURE</w:t>
            </w:r>
            <w:r>
              <w:rPr>
                <w:rFonts w:ascii="Aptos" w:hAnsi="Aptos"/>
                <w:color w:val="243447"/>
                <w:sz w:val="16"/>
              </w:rPr>
              <w:br/>
              <w:t>A bulk assignment operation must return an actionable reason for every skipped ticket, including the resolved operational team and whether the constraint was workforce availability, capacity, skill fit, or another policy rule.</w:t>
            </w:r>
          </w:p>
        </w:tc>
      </w:tr>
    </w:tbl>
    <w:p>
      <w:pPr>
        <w:spacing w:after="0"/>
      </w:pPr>
    </w:p>
    <w:p>
      <w:r>
        <w:br w:type="page"/>
      </w:r>
    </w:p>
    <w:p>
      <w:pPr>
        <w:keepNext/>
        <w:spacing w:before="60" w:after="80"/>
        <w:pBdr>
          <w:bottom w:val="single" w:sz="8" w:space="4" w:color="1F5AA6"/>
        </w:pBdr>
      </w:pPr>
      <w:r>
        <w:rPr>
          <w:rFonts w:ascii="Aptos" w:hAnsi="Aptos"/>
          <w:b/>
          <w:color w:val="17365D"/>
          <w:sz w:val="28"/>
        </w:rPr>
        <w:t>4. Resolver Work Procedure</w:t>
      </w:r>
    </w:p>
    <w:p>
      <w:pPr>
        <w:keepNext/>
        <w:spacing w:before="20" w:after="60"/>
      </w:pPr>
      <w:r>
        <w:rPr>
          <w:rFonts w:ascii="Aptos" w:hAnsi="Aptos"/>
          <w:b/>
          <w:color w:val="1F5AA6"/>
          <w:sz w:val="21"/>
        </w:rPr>
        <w:t>4.1 Queue Review</w:t>
      </w:r>
    </w:p>
    <w:p>
      <w:pPr>
        <w:spacing w:after="80" w:before="0" w:line="252" w:lineRule="auto"/>
      </w:pPr>
      <w:r>
        <w:rPr>
          <w:rFonts w:ascii="Aptos" w:hAnsi="Aptos"/>
          <w:color w:val="243447"/>
          <w:sz w:val="17"/>
        </w:rPr>
        <w:t>Resolvers must begin each work period by reviewing their queue, current SLA exposure and workload. Tickets should be worked in order of operational risk, considering SLA breach/at-risk state, priority and business impact rather than creation time alone.</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1728"/>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Action</w:t>
            </w:r>
          </w:p>
        </w:tc>
        <w:tc>
          <w:tcPr>
            <w:tcW w:type="dxa" w:w="6192"/>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Procedure</w:t>
            </w:r>
          </w:p>
        </w:tc>
        <w:tc>
          <w:tcPr>
            <w:tcW w:type="dxa" w:w="3096"/>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Evidence</w:t>
            </w:r>
          </w:p>
        </w:tc>
      </w:tr>
      <w:tr>
        <w:trPr>
          <w:cantSplit/>
        </w:trPr>
        <w:tc>
          <w:tcPr>
            <w:tcW w:type="dxa" w:w="172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Open ticket</w:t>
            </w:r>
          </w:p>
        </w:tc>
        <w:tc>
          <w:tcPr>
            <w:tcW w:type="dxa" w:w="61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Review customer statement, category, priority, team, assignment and SLA.</w:t>
            </w:r>
          </w:p>
        </w:tc>
        <w:tc>
          <w:tcPr>
            <w:tcW w:type="dxa" w:w="309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Ticket detail view accessed.</w:t>
            </w:r>
          </w:p>
        </w:tc>
      </w:tr>
      <w:tr>
        <w:trPr>
          <w:cantSplit/>
        </w:trPr>
        <w:tc>
          <w:tcPr>
            <w:tcW w:type="dxa" w:w="172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Assess</w:t>
            </w:r>
          </w:p>
        </w:tc>
        <w:tc>
          <w:tcPr>
            <w:tcW w:type="dxa" w:w="619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Confirm symptoms, scope and impact. Review prior history, comments, attachments and similar resolved cases.</w:t>
            </w:r>
          </w:p>
        </w:tc>
        <w:tc>
          <w:tcPr>
            <w:tcW w:type="dxa" w:w="309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Investigation notes / audit event.</w:t>
            </w:r>
          </w:p>
        </w:tc>
      </w:tr>
      <w:tr>
        <w:trPr>
          <w:cantSplit/>
        </w:trPr>
        <w:tc>
          <w:tcPr>
            <w:tcW w:type="dxa" w:w="172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Start work</w:t>
            </w:r>
          </w:p>
        </w:tc>
        <w:tc>
          <w:tcPr>
            <w:tcW w:type="dxa" w:w="61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Move OPEN → IN_PROGRESS only when actively working the case.</w:t>
            </w:r>
          </w:p>
        </w:tc>
        <w:tc>
          <w:tcPr>
            <w:tcW w:type="dxa" w:w="309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Status-change event.</w:t>
            </w:r>
          </w:p>
        </w:tc>
      </w:tr>
      <w:tr>
        <w:trPr>
          <w:cantSplit/>
        </w:trPr>
        <w:tc>
          <w:tcPr>
            <w:tcW w:type="dxa" w:w="172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Investigate</w:t>
            </w:r>
          </w:p>
        </w:tc>
        <w:tc>
          <w:tcPr>
            <w:tcW w:type="dxa" w:w="619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Follow approved knowledge/SOP steps. Avoid unsupported changes to production systems.</w:t>
            </w:r>
          </w:p>
        </w:tc>
        <w:tc>
          <w:tcPr>
            <w:tcW w:type="dxa" w:w="309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Internal notes, evidence, diagnostic results.</w:t>
            </w:r>
          </w:p>
        </w:tc>
      </w:tr>
      <w:tr>
        <w:trPr>
          <w:cantSplit/>
        </w:trPr>
        <w:tc>
          <w:tcPr>
            <w:tcW w:type="dxa" w:w="172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Request customer input</w:t>
            </w:r>
          </w:p>
        </w:tc>
        <w:tc>
          <w:tcPr>
            <w:tcW w:type="dxa" w:w="61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Use PENDING_CUSTOMER when progress is blocked by customer information or action.</w:t>
            </w:r>
          </w:p>
        </w:tc>
        <w:tc>
          <w:tcPr>
            <w:tcW w:type="dxa" w:w="309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Customer-facing comment and status-change event.</w:t>
            </w:r>
          </w:p>
        </w:tc>
      </w:tr>
      <w:tr>
        <w:trPr>
          <w:cantSplit/>
        </w:trPr>
        <w:tc>
          <w:tcPr>
            <w:tcW w:type="dxa" w:w="172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Resume</w:t>
            </w:r>
          </w:p>
        </w:tc>
        <w:tc>
          <w:tcPr>
            <w:tcW w:type="dxa" w:w="619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Return PENDING_CUSTOMER → IN_PROGRESS when required information is received.</w:t>
            </w:r>
          </w:p>
        </w:tc>
        <w:tc>
          <w:tcPr>
            <w:tcW w:type="dxa" w:w="3096"/>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Status-change event and customer evidence.</w:t>
            </w:r>
          </w:p>
        </w:tc>
      </w:tr>
      <w:tr>
        <w:trPr>
          <w:cantSplit/>
        </w:trPr>
        <w:tc>
          <w:tcPr>
            <w:tcW w:type="dxa" w:w="172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Resolve</w:t>
            </w:r>
          </w:p>
        </w:tc>
        <w:tc>
          <w:tcPr>
            <w:tcW w:type="dxa" w:w="61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Document the resolution, verification result and customer outcome.</w:t>
            </w:r>
          </w:p>
        </w:tc>
        <w:tc>
          <w:tcPr>
            <w:tcW w:type="dxa" w:w="3096"/>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Resolution notes, resolution timestamp, evidence.</w:t>
            </w:r>
          </w:p>
        </w:tc>
      </w:tr>
    </w:tbl>
    <w:p>
      <w:pPr>
        <w:spacing w:after="0"/>
      </w:pPr>
    </w:p>
    <w:p>
      <w:pPr>
        <w:keepNext/>
        <w:spacing w:before="20" w:after="60"/>
      </w:pPr>
      <w:r>
        <w:rPr>
          <w:rFonts w:ascii="Aptos" w:hAnsi="Aptos"/>
          <w:b/>
          <w:color w:val="1F5AA6"/>
          <w:sz w:val="21"/>
        </w:rPr>
        <w:t>4.2 AI Resolution Assistant</w:t>
      </w:r>
    </w:p>
    <w:p>
      <w:pPr>
        <w:spacing w:after="80" w:before="0" w:line="252" w:lineRule="auto"/>
      </w:pPr>
      <w:r>
        <w:rPr>
          <w:rFonts w:ascii="Aptos" w:hAnsi="Aptos"/>
          <w:color w:val="243447"/>
          <w:sz w:val="17"/>
        </w:rPr>
        <w:t>For suitable tickets, the resolver may request an AI-generated resolution recommendation. The assistant should use the ticket context, approved knowledge sources and historical cases where available. AI guidance is advisory and must be validated by the resolver before execution.</w:t>
      </w:r>
    </w:p>
    <w:p>
      <w:pPr>
        <w:pStyle w:val="ListBullet"/>
        <w:spacing w:after="50" w:line="245" w:lineRule="auto"/>
      </w:pPr>
      <w:r>
        <w:rPr>
          <w:rFonts w:ascii="Aptos" w:hAnsi="Aptos"/>
          <w:color w:val="243447"/>
          <w:sz w:val="16"/>
        </w:rPr>
        <w:t>Use the recommendation as an investigation aid, not as an authorization to alter production systems.</w:t>
      </w:r>
    </w:p>
    <w:p>
      <w:pPr>
        <w:pStyle w:val="ListBullet"/>
        <w:spacing w:after="50" w:line="245" w:lineRule="auto"/>
      </w:pPr>
      <w:r>
        <w:rPr>
          <w:rFonts w:ascii="Aptos" w:hAnsi="Aptos"/>
          <w:color w:val="243447"/>
          <w:sz w:val="16"/>
        </w:rPr>
        <w:t>Prefer approved knowledge-base procedures and known successful historical resolutions.</w:t>
      </w:r>
    </w:p>
    <w:p>
      <w:pPr>
        <w:pStyle w:val="ListBullet"/>
        <w:spacing w:after="50" w:line="245" w:lineRule="auto"/>
      </w:pPr>
      <w:r>
        <w:rPr>
          <w:rFonts w:ascii="Aptos" w:hAnsi="Aptos"/>
          <w:color w:val="243447"/>
          <w:sz w:val="16"/>
        </w:rPr>
        <w:t>Do not represent an AI suggestion as an observed fact or confirmed remediation.</w:t>
      </w:r>
    </w:p>
    <w:p>
      <w:pPr>
        <w:pStyle w:val="ListBullet"/>
        <w:spacing w:after="50" w:line="245" w:lineRule="auto"/>
      </w:pPr>
      <w:r>
        <w:rPr>
          <w:rFonts w:ascii="Aptos" w:hAnsi="Aptos"/>
          <w:color w:val="243447"/>
          <w:sz w:val="16"/>
        </w:rPr>
        <w:t>Escalate when the recommendation indicates security, data-loss, major outage or other high-risk intervention.</w:t>
      </w:r>
    </w:p>
    <w:p>
      <w:pPr>
        <w:keepNext/>
        <w:spacing w:before="20" w:after="60"/>
      </w:pPr>
      <w:r>
        <w:rPr>
          <w:rFonts w:ascii="Aptos" w:hAnsi="Aptos"/>
          <w:b/>
          <w:color w:val="1F5AA6"/>
          <w:sz w:val="21"/>
        </w:rPr>
        <w:t>4.3 Similar Resolved Cases</w:t>
      </w:r>
    </w:p>
    <w:p>
      <w:pPr>
        <w:spacing w:after="80" w:before="0" w:line="252" w:lineRule="auto"/>
      </w:pPr>
      <w:r>
        <w:rPr>
          <w:rFonts w:ascii="Aptos" w:hAnsi="Aptos"/>
          <w:color w:val="243447"/>
          <w:sz w:val="17"/>
        </w:rPr>
        <w:t>Before performing novel troubleshooting, review similar tickets that were successfully resolved. Historical cases should be used to understand proven diagnostic paths, known symptoms, effective remediation and lessons learned. Similarity is evidence for investigation, not proof that the same cause exists.</w:t>
      </w:r>
    </w:p>
    <w:tbl>
      <w:tblPr>
        <w:tblW w:type="auto" w:w="0"/>
        <w:jc w:val="center"/>
        <w:tblLook w:firstColumn="1" w:firstRow="1" w:lastColumn="0" w:lastRow="0" w:noHBand="0" w:noVBand="1" w:val="04A0"/>
      </w:tblPr>
      <w:tblGrid>
        <w:gridCol w:w="10368"/>
      </w:tblGrid>
      <w:tr>
        <w:trPr>
          <w:cantSplit/>
        </w:trPr>
        <w:tc>
          <w:tcPr>
            <w:tcW w:type="dxa" w:w="10368"/>
            <w:shd w:fill="EAF6F0"/>
            <w:tcBorders>
              <w:top w:sz="8" w:val="single" w:color="D9E3ED"/>
              <w:left w:sz="16" w:val="single" w:color="1F5AA6"/>
              <w:bottom w:sz="8" w:val="single" w:color="D9E3ED"/>
              <w:right w:sz="8" w:val="single" w:color="D9E3ED"/>
            </w:tcBorders>
          </w:tcPr>
          <w:p>
            <w:pPr>
              <w:spacing w:after="0"/>
            </w:pPr>
            <w:r>
              <w:rPr>
                <w:rFonts w:ascii="Aptos" w:hAnsi="Aptos"/>
                <w:b/>
                <w:color w:val="2E7D5B"/>
                <w:sz w:val="17"/>
              </w:rPr>
              <w:t>RESOLVER STANDARD</w:t>
            </w:r>
            <w:r>
              <w:rPr>
                <w:rFonts w:ascii="Aptos" w:hAnsi="Aptos"/>
                <w:color w:val="243447"/>
                <w:sz w:val="16"/>
              </w:rPr>
              <w:br/>
              <w:t>Every resolved ticket should leave enough structured and narrative evidence that another resolver can understand the issue, reproduce the investigation path and recognize why the resolution was considered successful.</w:t>
            </w:r>
          </w:p>
        </w:tc>
      </w:tr>
    </w:tbl>
    <w:p>
      <w:pPr>
        <w:spacing w:after="0"/>
      </w:pPr>
    </w:p>
    <w:p>
      <w:r>
        <w:br w:type="page"/>
      </w:r>
    </w:p>
    <w:p>
      <w:pPr>
        <w:keepNext/>
        <w:spacing w:before="60" w:after="80"/>
        <w:pBdr>
          <w:bottom w:val="single" w:sz="8" w:space="4" w:color="1F5AA6"/>
        </w:pBdr>
      </w:pPr>
      <w:r>
        <w:rPr>
          <w:rFonts w:ascii="Aptos" w:hAnsi="Aptos"/>
          <w:b/>
          <w:color w:val="17365D"/>
          <w:sz w:val="28"/>
        </w:rPr>
        <w:t>5. SLA Monitoring and Escalation</w:t>
      </w:r>
    </w:p>
    <w:p>
      <w:pPr>
        <w:keepNext/>
        <w:spacing w:before="20" w:after="60"/>
      </w:pPr>
      <w:r>
        <w:rPr>
          <w:rFonts w:ascii="Aptos" w:hAnsi="Aptos"/>
          <w:b/>
          <w:color w:val="1F5AA6"/>
          <w:sz w:val="21"/>
        </w:rPr>
        <w:t>5.1 SLA Control</w:t>
      </w:r>
    </w:p>
    <w:p>
      <w:pPr>
        <w:spacing w:after="80" w:before="0" w:line="252" w:lineRule="auto"/>
      </w:pPr>
      <w:r>
        <w:rPr>
          <w:rFonts w:ascii="Aptos" w:hAnsi="Aptos"/>
          <w:color w:val="243447"/>
          <w:sz w:val="17"/>
        </w:rPr>
        <w:t>SLA commitments are driven by the final priority and applicable business calendar. The platform tracks first-response and resolution commitments, including pause/resume behavior where policy permits. The same SLA service must be used by the dashboard, ticket detail, resolver queue and escalation process so that displayed states remain consistent.</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1440"/>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State</w:t>
            </w:r>
          </w:p>
        </w:tc>
        <w:tc>
          <w:tcPr>
            <w:tcW w:type="dxa" w:w="5112"/>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Meaning</w:t>
            </w:r>
          </w:p>
        </w:tc>
        <w:tc>
          <w:tcPr>
            <w:tcW w:type="dxa" w:w="4464"/>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Required response</w:t>
            </w:r>
          </w:p>
        </w:tc>
      </w:tr>
      <w:tr>
        <w:trPr>
          <w:cantSplit/>
        </w:trPr>
        <w:tc>
          <w:tcPr>
            <w:tcW w:type="dxa" w:w="144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ON_TRACK</w:t>
            </w:r>
          </w:p>
        </w:tc>
        <w:tc>
          <w:tcPr>
            <w:tcW w:type="dxa" w:w="51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Sufficient time remains against the current commitment.</w:t>
            </w:r>
          </w:p>
        </w:tc>
        <w:tc>
          <w:tcPr>
            <w:tcW w:type="dxa" w:w="446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Continue normal execution while monitoring queue risk.</w:t>
            </w:r>
          </w:p>
        </w:tc>
      </w:tr>
      <w:tr>
        <w:trPr>
          <w:cantSplit/>
        </w:trPr>
        <w:tc>
          <w:tcPr>
            <w:tcW w:type="dxa" w:w="144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AT_RISK</w:t>
            </w:r>
          </w:p>
        </w:tc>
        <w:tc>
          <w:tcPr>
            <w:tcW w:type="dxa" w:w="511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The ticket is approaching the SLA threshold.</w:t>
            </w:r>
          </w:p>
        </w:tc>
        <w:tc>
          <w:tcPr>
            <w:tcW w:type="dxa" w:w="446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Prioritize work, re-evaluate workload and consider escalation.</w:t>
            </w:r>
          </w:p>
        </w:tc>
      </w:tr>
      <w:tr>
        <w:trPr>
          <w:cantSplit/>
        </w:trPr>
        <w:tc>
          <w:tcPr>
            <w:tcW w:type="dxa" w:w="144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BREACHED</w:t>
            </w:r>
          </w:p>
        </w:tc>
        <w:tc>
          <w:tcPr>
            <w:tcW w:type="dxa" w:w="51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The committed deadline has passed.</w:t>
            </w:r>
          </w:p>
        </w:tc>
        <w:tc>
          <w:tcPr>
            <w:tcW w:type="dxa" w:w="446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Immediate operational attention; escalate according to priority and ownership policy.</w:t>
            </w:r>
          </w:p>
        </w:tc>
      </w:tr>
      <w:tr>
        <w:trPr>
          <w:cantSplit/>
        </w:trPr>
        <w:tc>
          <w:tcPr>
            <w:tcW w:type="dxa" w:w="144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NO_SLA</w:t>
            </w:r>
          </w:p>
        </w:tc>
        <w:tc>
          <w:tcPr>
            <w:tcW w:type="dxa" w:w="511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No applicable SLA was established.</w:t>
            </w:r>
          </w:p>
        </w:tc>
        <w:tc>
          <w:tcPr>
            <w:tcW w:type="dxa" w:w="446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Follow service-specific exception handling and confirm configuration.</w:t>
            </w:r>
          </w:p>
        </w:tc>
      </w:tr>
    </w:tbl>
    <w:p>
      <w:pPr>
        <w:spacing w:after="0"/>
      </w:pPr>
    </w:p>
    <w:p>
      <w:pPr>
        <w:keepNext/>
        <w:spacing w:before="20" w:after="60"/>
      </w:pPr>
      <w:r>
        <w:rPr>
          <w:rFonts w:ascii="Aptos" w:hAnsi="Aptos"/>
          <w:b/>
          <w:color w:val="1F5AA6"/>
          <w:sz w:val="21"/>
        </w:rPr>
        <w:t>5.2 Escalation Triggers</w:t>
      </w:r>
    </w:p>
    <w:p>
      <w:pPr>
        <w:pStyle w:val="ListBullet"/>
        <w:spacing w:after="50" w:line="245" w:lineRule="auto"/>
      </w:pPr>
      <w:r>
        <w:rPr>
          <w:rFonts w:ascii="Aptos" w:hAnsi="Aptos"/>
          <w:color w:val="243447"/>
          <w:sz w:val="16"/>
        </w:rPr>
        <w:t>Critical priority requiring elevated operational attention.</w:t>
      </w:r>
    </w:p>
    <w:p>
      <w:pPr>
        <w:pStyle w:val="ListBullet"/>
        <w:spacing w:after="50" w:line="245" w:lineRule="auto"/>
      </w:pPr>
      <w:r>
        <w:rPr>
          <w:rFonts w:ascii="Aptos" w:hAnsi="Aptos"/>
          <w:color w:val="243447"/>
          <w:sz w:val="16"/>
        </w:rPr>
        <w:t>First-response SLA breach.</w:t>
      </w:r>
    </w:p>
    <w:p>
      <w:pPr>
        <w:pStyle w:val="ListBullet"/>
        <w:spacing w:after="50" w:line="245" w:lineRule="auto"/>
      </w:pPr>
      <w:r>
        <w:rPr>
          <w:rFonts w:ascii="Aptos" w:hAnsi="Aptos"/>
          <w:color w:val="243447"/>
          <w:sz w:val="16"/>
        </w:rPr>
        <w:t>Resolution SLA breach.</w:t>
      </w:r>
    </w:p>
    <w:p>
      <w:pPr>
        <w:pStyle w:val="ListBullet"/>
        <w:spacing w:after="50" w:line="245" w:lineRule="auto"/>
      </w:pPr>
      <w:r>
        <w:rPr>
          <w:rFonts w:ascii="Aptos" w:hAnsi="Aptos"/>
          <w:color w:val="243447"/>
          <w:sz w:val="16"/>
        </w:rPr>
        <w:t>Repeated rework or customer dissatisfaction indicating a service-management concern.</w:t>
      </w:r>
    </w:p>
    <w:p>
      <w:pPr>
        <w:pStyle w:val="ListBullet"/>
        <w:spacing w:after="50" w:line="245" w:lineRule="auto"/>
      </w:pPr>
      <w:r>
        <w:rPr>
          <w:rFonts w:ascii="Aptos" w:hAnsi="Aptos"/>
          <w:color w:val="243447"/>
          <w:sz w:val="16"/>
        </w:rPr>
        <w:t>Security, privacy, financial or regulatory exposure beyond the resolver’s authority.</w:t>
      </w:r>
    </w:p>
    <w:p>
      <w:pPr>
        <w:pStyle w:val="ListBullet"/>
        <w:spacing w:after="50" w:line="245" w:lineRule="auto"/>
      </w:pPr>
      <w:r>
        <w:rPr>
          <w:rFonts w:ascii="Aptos" w:hAnsi="Aptos"/>
          <w:color w:val="243447"/>
          <w:sz w:val="16"/>
        </w:rPr>
        <w:t>Capacity or workforce conditions that prevent timely completion.</w:t>
      </w:r>
    </w:p>
    <w:p>
      <w:pPr>
        <w:keepNext/>
        <w:spacing w:before="20" w:after="60"/>
      </w:pPr>
      <w:r>
        <w:rPr>
          <w:rFonts w:ascii="Aptos" w:hAnsi="Aptos"/>
          <w:b/>
          <w:color w:val="1F5AA6"/>
          <w:sz w:val="21"/>
        </w:rPr>
        <w:t>5.3 Escalation Procedure</w:t>
      </w:r>
    </w:p>
    <w:p>
      <w:pPr>
        <w:pStyle w:val="ListNumber"/>
        <w:spacing w:after="50" w:line="245" w:lineRule="auto"/>
      </w:pPr>
      <w:r>
        <w:rPr>
          <w:rFonts w:ascii="Aptos" w:hAnsi="Aptos"/>
          <w:color w:val="243447"/>
          <w:sz w:val="16"/>
        </w:rPr>
        <w:t>Confirm the trigger and capture the factual reason.</w:t>
      </w:r>
    </w:p>
    <w:p>
      <w:pPr>
        <w:pStyle w:val="ListNumber"/>
        <w:spacing w:after="50" w:line="245" w:lineRule="auto"/>
      </w:pPr>
      <w:r>
        <w:rPr>
          <w:rFonts w:ascii="Aptos" w:hAnsi="Aptos"/>
          <w:color w:val="243447"/>
          <w:sz w:val="16"/>
        </w:rPr>
        <w:t>Set the appropriate escalation level and operational owner.</w:t>
      </w:r>
    </w:p>
    <w:p>
      <w:pPr>
        <w:pStyle w:val="ListNumber"/>
        <w:spacing w:after="50" w:line="245" w:lineRule="auto"/>
      </w:pPr>
      <w:r>
        <w:rPr>
          <w:rFonts w:ascii="Aptos" w:hAnsi="Aptos"/>
          <w:color w:val="243447"/>
          <w:sz w:val="16"/>
        </w:rPr>
        <w:t>Notify the resolver, customer when appropriate, and designated operations owner.</w:t>
      </w:r>
    </w:p>
    <w:p>
      <w:pPr>
        <w:pStyle w:val="ListNumber"/>
        <w:spacing w:after="50" w:line="245" w:lineRule="auto"/>
      </w:pPr>
      <w:r>
        <w:rPr>
          <w:rFonts w:ascii="Aptos" w:hAnsi="Aptos"/>
          <w:color w:val="243447"/>
          <w:sz w:val="16"/>
        </w:rPr>
        <w:t>Continue ticket execution unless ownership is formally transferred.</w:t>
      </w:r>
    </w:p>
    <w:p>
      <w:pPr>
        <w:pStyle w:val="ListNumber"/>
        <w:spacing w:after="50" w:line="245" w:lineRule="auto"/>
      </w:pPr>
      <w:r>
        <w:rPr>
          <w:rFonts w:ascii="Aptos" w:hAnsi="Aptos"/>
          <w:color w:val="243447"/>
          <w:sz w:val="16"/>
        </w:rPr>
        <w:t>Record escalation decision, reason, time and outcome in the audit trail.</w:t>
      </w:r>
    </w:p>
    <w:tbl>
      <w:tblPr>
        <w:tblW w:type="auto" w:w="0"/>
        <w:jc w:val="center"/>
        <w:tblLook w:firstColumn="1" w:firstRow="1" w:lastColumn="0" w:lastRow="0" w:noHBand="0" w:noVBand="1" w:val="04A0"/>
      </w:tblPr>
      <w:tblGrid>
        <w:gridCol w:w="10368"/>
      </w:tblGrid>
      <w:tr>
        <w:trPr>
          <w:cantSplit/>
        </w:trPr>
        <w:tc>
          <w:tcPr>
            <w:tcW w:type="dxa" w:w="10368"/>
            <w:shd w:fill="FFF7E6"/>
            <w:tcBorders>
              <w:top w:sz="8" w:val="single" w:color="D9E3ED"/>
              <w:left w:sz="16" w:val="single" w:color="1F5AA6"/>
              <w:bottom w:sz="8" w:val="single" w:color="D9E3ED"/>
              <w:right w:sz="8" w:val="single" w:color="D9E3ED"/>
            </w:tcBorders>
          </w:tcPr>
          <w:p>
            <w:pPr>
              <w:spacing w:after="0"/>
            </w:pPr>
            <w:r>
              <w:rPr>
                <w:rFonts w:ascii="Aptos" w:hAnsi="Aptos"/>
                <w:b/>
                <w:color w:val="9A6700"/>
                <w:sz w:val="17"/>
              </w:rPr>
              <w:t>ESCALATION DISCIPLINE</w:t>
            </w:r>
            <w:r>
              <w:rPr>
                <w:rFonts w:ascii="Aptos" w:hAnsi="Aptos"/>
                <w:color w:val="243447"/>
                <w:sz w:val="16"/>
              </w:rPr>
              <w:br/>
              <w:t>Escalation is not a substitute for ownership. The ticket must always have a clear current owner or an explicit queue state with a named operational function responsible for the next action.</w:t>
            </w:r>
          </w:p>
        </w:tc>
      </w:tr>
    </w:tbl>
    <w:p>
      <w:pPr>
        <w:spacing w:after="0"/>
      </w:pPr>
    </w:p>
    <w:p>
      <w:r>
        <w:br w:type="page"/>
      </w:r>
    </w:p>
    <w:p>
      <w:pPr>
        <w:keepNext/>
        <w:spacing w:before="60" w:after="80"/>
        <w:pBdr>
          <w:bottom w:val="single" w:sz="8" w:space="4" w:color="1F5AA6"/>
        </w:pBdr>
      </w:pPr>
      <w:r>
        <w:rPr>
          <w:rFonts w:ascii="Aptos" w:hAnsi="Aptos"/>
          <w:b/>
          <w:color w:val="17365D"/>
          <w:sz w:val="28"/>
        </w:rPr>
        <w:t>6. Communications, Notifications and Audit</w:t>
      </w:r>
    </w:p>
    <w:p>
      <w:pPr>
        <w:keepNext/>
        <w:spacing w:before="20" w:after="60"/>
      </w:pPr>
      <w:r>
        <w:rPr>
          <w:rFonts w:ascii="Aptos" w:hAnsi="Aptos"/>
          <w:b/>
          <w:color w:val="1F5AA6"/>
          <w:sz w:val="21"/>
        </w:rPr>
        <w:t>6.1 Notification Policy</w:t>
      </w:r>
    </w:p>
    <w:p>
      <w:pPr>
        <w:spacing w:after="80" w:before="0" w:line="252" w:lineRule="auto"/>
      </w:pPr>
      <w:r>
        <w:rPr>
          <w:rFonts w:ascii="Aptos" w:hAnsi="Aptos"/>
          <w:color w:val="243447"/>
          <w:sz w:val="17"/>
        </w:rPr>
        <w:t>Notifications should inform the recipient when a meaningful operational event affects their next action, ownership, commitment or customer experience. Notifications must be generated from authoritative backend events rather than frontend-only messages.</w:t>
      </w:r>
    </w:p>
    <w:tbl>
      <w:tblPr>
        <w:tblW w:type="auto" w:w="0"/>
        <w:jc w:val="center"/>
        <w:tblLayout w:type="fixed"/>
        <w:tblLook w:firstColumn="1" w:firstRow="1" w:lastColumn="0" w:lastRow="0" w:noHBand="0" w:noVBand="1" w:val="04A0"/>
      </w:tblPr>
      <w:tblGrid>
        <w:gridCol w:w="2592"/>
        <w:gridCol w:w="2592"/>
        <w:gridCol w:w="2592"/>
        <w:gridCol w:w="2592"/>
      </w:tblGrid>
      <w:tr>
        <w:trPr>
          <w:cantSplit/>
        </w:trPr>
        <w:tc>
          <w:tcPr>
            <w:tcW w:type="dxa" w:w="2880"/>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Event</w:t>
            </w:r>
          </w:p>
        </w:tc>
        <w:tc>
          <w:tcPr>
            <w:tcW w:type="dxa" w:w="1944"/>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Customer</w:t>
            </w:r>
          </w:p>
        </w:tc>
        <w:tc>
          <w:tcPr>
            <w:tcW w:type="dxa" w:w="1944"/>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Resolver</w:t>
            </w:r>
          </w:p>
        </w:tc>
        <w:tc>
          <w:tcPr>
            <w:tcW w:type="dxa" w:w="4248"/>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Admin / Operations</w:t>
            </w:r>
          </w:p>
        </w:tc>
      </w:tr>
      <w:tr>
        <w:trPr>
          <w:cantSplit/>
        </w:trPr>
        <w:tc>
          <w:tcPr>
            <w:tcW w:type="dxa" w:w="288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Ticket assigned</w:t>
            </w:r>
          </w:p>
        </w:tc>
        <w:tc>
          <w:tcPr>
            <w:tcW w:type="dxa" w:w="194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194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424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Operational view</w:t>
            </w:r>
          </w:p>
        </w:tc>
      </w:tr>
      <w:tr>
        <w:trPr>
          <w:cantSplit/>
        </w:trPr>
        <w:tc>
          <w:tcPr>
            <w:tcW w:type="dxa" w:w="288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Ticket reassigned</w:t>
            </w:r>
          </w:p>
        </w:tc>
        <w:tc>
          <w:tcPr>
            <w:tcW w:type="dxa" w:w="194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194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New + previous resolver where applicable</w:t>
            </w:r>
          </w:p>
        </w:tc>
        <w:tc>
          <w:tcPr>
            <w:tcW w:type="dxa" w:w="424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r>
      <w:tr>
        <w:trPr>
          <w:cantSplit/>
        </w:trPr>
        <w:tc>
          <w:tcPr>
            <w:tcW w:type="dxa" w:w="288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Status changed</w:t>
            </w:r>
          </w:p>
        </w:tc>
        <w:tc>
          <w:tcPr>
            <w:tcW w:type="dxa" w:w="194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194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424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Operational view</w:t>
            </w:r>
          </w:p>
        </w:tc>
      </w:tr>
      <w:tr>
        <w:trPr>
          <w:cantSplit/>
        </w:trPr>
        <w:tc>
          <w:tcPr>
            <w:tcW w:type="dxa" w:w="288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Priority changed</w:t>
            </w:r>
          </w:p>
        </w:tc>
        <w:tc>
          <w:tcPr>
            <w:tcW w:type="dxa" w:w="194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194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424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r>
      <w:tr>
        <w:trPr>
          <w:cantSplit/>
        </w:trPr>
        <w:tc>
          <w:tcPr>
            <w:tcW w:type="dxa" w:w="288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SLA at risk / breached</w:t>
            </w:r>
          </w:p>
        </w:tc>
        <w:tc>
          <w:tcPr>
            <w:tcW w:type="dxa" w:w="194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Policy-dependent</w:t>
            </w:r>
          </w:p>
        </w:tc>
        <w:tc>
          <w:tcPr>
            <w:tcW w:type="dxa" w:w="194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424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r>
      <w:tr>
        <w:trPr>
          <w:cantSplit/>
        </w:trPr>
        <w:tc>
          <w:tcPr>
            <w:tcW w:type="dxa" w:w="288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Escalation</w:t>
            </w:r>
          </w:p>
        </w:tc>
        <w:tc>
          <w:tcPr>
            <w:tcW w:type="dxa" w:w="194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Policy-dependent</w:t>
            </w:r>
          </w:p>
        </w:tc>
        <w:tc>
          <w:tcPr>
            <w:tcW w:type="dxa" w:w="194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424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r>
      <w:tr>
        <w:trPr>
          <w:cantSplit/>
        </w:trPr>
        <w:tc>
          <w:tcPr>
            <w:tcW w:type="dxa" w:w="288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Customer comment / evidence added</w:t>
            </w:r>
          </w:p>
        </w:tc>
        <w:tc>
          <w:tcPr>
            <w:tcW w:type="dxa" w:w="194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Yes / acknowledgement</w:t>
            </w:r>
          </w:p>
        </w:tc>
        <w:tc>
          <w:tcPr>
            <w:tcW w:type="dxa" w:w="1944"/>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424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Operational view</w:t>
            </w:r>
          </w:p>
        </w:tc>
      </w:tr>
      <w:tr>
        <w:trPr>
          <w:cantSplit/>
        </w:trPr>
        <w:tc>
          <w:tcPr>
            <w:tcW w:type="dxa" w:w="288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Resolution / closure</w:t>
            </w:r>
          </w:p>
        </w:tc>
        <w:tc>
          <w:tcPr>
            <w:tcW w:type="dxa" w:w="194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1944"/>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c>
          <w:tcPr>
            <w:tcW w:type="dxa" w:w="424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Yes</w:t>
            </w:r>
          </w:p>
        </w:tc>
      </w:tr>
    </w:tbl>
    <w:p>
      <w:pPr>
        <w:spacing w:after="0"/>
      </w:pPr>
    </w:p>
    <w:p>
      <w:pPr>
        <w:keepNext/>
        <w:spacing w:before="20" w:after="60"/>
      </w:pPr>
      <w:r>
        <w:rPr>
          <w:rFonts w:ascii="Aptos" w:hAnsi="Aptos"/>
          <w:b/>
          <w:color w:val="1F5AA6"/>
          <w:sz w:val="21"/>
        </w:rPr>
        <w:t>6.2 Audit Trail Requirements</w:t>
      </w:r>
    </w:p>
    <w:p>
      <w:pPr>
        <w:spacing w:after="80" w:before="0" w:line="252" w:lineRule="auto"/>
      </w:pPr>
      <w:r>
        <w:rPr>
          <w:rFonts w:ascii="Aptos" w:hAnsi="Aptos"/>
          <w:color w:val="243447"/>
          <w:sz w:val="17"/>
        </w:rPr>
        <w:t>Audit data should answer four questions for every material action: who performed it, what changed, when it changed, and why. The ticket timeline should provide an operator-friendly representation; the underlying audit log should preserve structured event data for investigation and compliance.</w:t>
      </w:r>
    </w:p>
    <w:p>
      <w:pPr>
        <w:pStyle w:val="ListBullet"/>
        <w:spacing w:after="50" w:line="245" w:lineRule="auto"/>
      </w:pPr>
      <w:r>
        <w:rPr>
          <w:rFonts w:ascii="Aptos" w:hAnsi="Aptos"/>
          <w:color w:val="243447"/>
          <w:sz w:val="16"/>
        </w:rPr>
        <w:t>Assignment events must preserve previous and new resolver where applicable.</w:t>
      </w:r>
    </w:p>
    <w:p>
      <w:pPr>
        <w:pStyle w:val="ListBullet"/>
        <w:spacing w:after="50" w:line="245" w:lineRule="auto"/>
      </w:pPr>
      <w:r>
        <w:rPr>
          <w:rFonts w:ascii="Aptos" w:hAnsi="Aptos"/>
          <w:color w:val="243447"/>
          <w:sz w:val="16"/>
        </w:rPr>
        <w:t>Manual overrides must identify the actor and justification.</w:t>
      </w:r>
    </w:p>
    <w:p>
      <w:pPr>
        <w:pStyle w:val="ListBullet"/>
        <w:spacing w:after="50" w:line="245" w:lineRule="auto"/>
      </w:pPr>
      <w:r>
        <w:rPr>
          <w:rFonts w:ascii="Aptos" w:hAnsi="Aptos"/>
          <w:color w:val="243447"/>
          <w:sz w:val="16"/>
        </w:rPr>
        <w:t>Priority changes must preserve the previous and new priority and the actor type (customer, resolver or admin).</w:t>
      </w:r>
    </w:p>
    <w:p>
      <w:pPr>
        <w:pStyle w:val="ListBullet"/>
        <w:spacing w:after="50" w:line="245" w:lineRule="auto"/>
      </w:pPr>
      <w:r>
        <w:rPr>
          <w:rFonts w:ascii="Aptos" w:hAnsi="Aptos"/>
          <w:color w:val="243447"/>
          <w:sz w:val="16"/>
        </w:rPr>
        <w:t>Status changes must preserve the state transition and timestamp.</w:t>
      </w:r>
    </w:p>
    <w:p>
      <w:pPr>
        <w:pStyle w:val="ListBullet"/>
        <w:spacing w:after="50" w:line="245" w:lineRule="auto"/>
      </w:pPr>
      <w:r>
        <w:rPr>
          <w:rFonts w:ascii="Aptos" w:hAnsi="Aptos"/>
          <w:color w:val="243447"/>
          <w:sz w:val="16"/>
        </w:rPr>
        <w:t>Escalations must preserve level, owner, reason and time.</w:t>
      </w:r>
    </w:p>
    <w:p>
      <w:pPr>
        <w:keepNext/>
        <w:spacing w:before="20" w:after="60"/>
      </w:pPr>
      <w:r>
        <w:rPr>
          <w:rFonts w:ascii="Aptos" w:hAnsi="Aptos"/>
          <w:b/>
          <w:color w:val="1F5AA6"/>
          <w:sz w:val="21"/>
        </w:rPr>
        <w:t>6.3 Customer Communication Standard</w:t>
      </w:r>
    </w:p>
    <w:p>
      <w:pPr>
        <w:spacing w:after="80" w:before="0" w:line="252" w:lineRule="auto"/>
      </w:pPr>
      <w:r>
        <w:rPr>
          <w:rFonts w:ascii="Aptos" w:hAnsi="Aptos"/>
          <w:color w:val="243447"/>
          <w:sz w:val="17"/>
        </w:rPr>
        <w:t>Customer-facing messages must be concise, factual and action-oriented. They should explain what the support organization has done, what is needed from the customer, and what happens next. Avoid exposing internal scoring, resolver workload, internal notes, security controls or other confidential operational information.</w:t>
      </w:r>
    </w:p>
    <w:tbl>
      <w:tblPr>
        <w:tblW w:type="auto" w:w="0"/>
        <w:jc w:val="center"/>
        <w:tblLook w:firstColumn="1" w:firstRow="1" w:lastColumn="0" w:lastRow="0" w:noHBand="0" w:noVBand="1" w:val="04A0"/>
      </w:tblPr>
      <w:tblGrid>
        <w:gridCol w:w="10368"/>
      </w:tblGrid>
      <w:tr>
        <w:trPr>
          <w:cantSplit/>
        </w:trPr>
        <w:tc>
          <w:tcPr>
            <w:tcW w:type="dxa" w:w="10368"/>
            <w:shd w:fill="EAF6F0"/>
            <w:tcBorders>
              <w:top w:sz="8" w:val="single" w:color="D9E3ED"/>
              <w:left w:sz="16" w:val="single" w:color="1F5AA6"/>
              <w:bottom w:sz="8" w:val="single" w:color="D9E3ED"/>
              <w:right w:sz="8" w:val="single" w:color="D9E3ED"/>
            </w:tcBorders>
          </w:tcPr>
          <w:p>
            <w:pPr>
              <w:spacing w:after="0"/>
            </w:pPr>
            <w:r>
              <w:rPr>
                <w:rFonts w:ascii="Aptos" w:hAnsi="Aptos"/>
                <w:b/>
                <w:color w:val="2E7D5B"/>
                <w:sz w:val="17"/>
              </w:rPr>
              <w:t>QUALITY CHECK</w:t>
            </w:r>
            <w:r>
              <w:rPr>
                <w:rFonts w:ascii="Aptos" w:hAnsi="Aptos"/>
                <w:color w:val="243447"/>
                <w:sz w:val="16"/>
              </w:rPr>
              <w:br/>
              <w:t>Before closing a ticket, confirm that the customer-facing explanation matches the actual recorded resolution and that no internal-only information has been placed in a public comment.</w:t>
            </w:r>
          </w:p>
        </w:tc>
      </w:tr>
    </w:tbl>
    <w:p>
      <w:pPr>
        <w:spacing w:after="0"/>
      </w:pPr>
    </w:p>
    <w:p>
      <w:r>
        <w:br w:type="page"/>
      </w:r>
    </w:p>
    <w:p>
      <w:pPr>
        <w:keepNext/>
        <w:spacing w:before="60" w:after="80"/>
        <w:pBdr>
          <w:bottom w:val="single" w:sz="8" w:space="4" w:color="1F5AA6"/>
        </w:pBdr>
      </w:pPr>
      <w:r>
        <w:rPr>
          <w:rFonts w:ascii="Aptos" w:hAnsi="Aptos"/>
          <w:b/>
          <w:color w:val="17365D"/>
          <w:sz w:val="28"/>
        </w:rPr>
        <w:t>7. Exceptions, Operational Metrics and Continuous Improvement</w:t>
      </w:r>
    </w:p>
    <w:p>
      <w:pPr>
        <w:keepNext/>
        <w:spacing w:before="20" w:after="60"/>
      </w:pPr>
      <w:r>
        <w:rPr>
          <w:rFonts w:ascii="Aptos" w:hAnsi="Aptos"/>
          <w:b/>
          <w:color w:val="1F5AA6"/>
          <w:sz w:val="21"/>
        </w:rPr>
        <w:t>7.1 Exception Handling</w:t>
      </w:r>
    </w:p>
    <w:tbl>
      <w:tblPr>
        <w:tblW w:type="auto" w:w="0"/>
        <w:jc w:val="center"/>
        <w:tblLayout w:type="fixed"/>
        <w:tblLook w:firstColumn="1" w:firstRow="1" w:lastColumn="0" w:lastRow="0" w:noHBand="0" w:noVBand="1" w:val="04A0"/>
      </w:tblPr>
      <w:tblGrid>
        <w:gridCol w:w="5184"/>
        <w:gridCol w:w="5184"/>
      </w:tblGrid>
      <w:tr>
        <w:trPr>
          <w:cantSplit/>
        </w:trPr>
        <w:tc>
          <w:tcPr>
            <w:tcW w:type="dxa" w:w="2592"/>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Scenario</w:t>
            </w:r>
          </w:p>
        </w:tc>
        <w:tc>
          <w:tcPr>
            <w:tcW w:type="dxa" w:w="7920"/>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Required action</w:t>
            </w:r>
          </w:p>
        </w:tc>
      </w:tr>
      <w:tr>
        <w:trPr>
          <w:cantSplit/>
        </w:trPr>
        <w:tc>
          <w:tcPr>
            <w:tcW w:type="dxa" w:w="25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No eligible resolver</w:t>
            </w:r>
          </w:p>
        </w:tc>
        <w:tc>
          <w:tcPr>
            <w:tcW w:type="dxa" w:w="792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Keep the ticket OPEN and unassigned; surface the exact routing constraint; place in operational queue; allow authorized manual assignment.</w:t>
            </w:r>
          </w:p>
        </w:tc>
      </w:tr>
      <w:tr>
        <w:trPr>
          <w:cantSplit/>
        </w:trPr>
        <w:tc>
          <w:tcPr>
            <w:tcW w:type="dxa" w:w="259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Resolver at capacity</w:t>
            </w:r>
          </w:p>
        </w:tc>
        <w:tc>
          <w:tcPr>
            <w:tcW w:type="dxa" w:w="792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Do not use for automatic assignment when capacity is a hard constraint. Permit authorized manual override with warning and audit record.</w:t>
            </w:r>
          </w:p>
        </w:tc>
      </w:tr>
      <w:tr>
        <w:trPr>
          <w:cantSplit/>
        </w:trPr>
        <w:tc>
          <w:tcPr>
            <w:tcW w:type="dxa" w:w="25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Outside shift</w:t>
            </w:r>
          </w:p>
        </w:tc>
        <w:tc>
          <w:tcPr>
            <w:tcW w:type="dxa" w:w="792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Exclude from normal assignment unless configured as on-call/emergency coverage.</w:t>
            </w:r>
          </w:p>
        </w:tc>
      </w:tr>
      <w:tr>
        <w:trPr>
          <w:cantSplit/>
        </w:trPr>
        <w:tc>
          <w:tcPr>
            <w:tcW w:type="dxa" w:w="259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Team mismatch</w:t>
            </w:r>
          </w:p>
        </w:tc>
        <w:tc>
          <w:tcPr>
            <w:tcW w:type="dxa" w:w="792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Do not assign across team boundaries. Normalize legacy labels or route to the correct operational team.</w:t>
            </w:r>
          </w:p>
        </w:tc>
      </w:tr>
      <w:tr>
        <w:trPr>
          <w:cantSplit/>
        </w:trPr>
        <w:tc>
          <w:tcPr>
            <w:tcW w:type="dxa" w:w="25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SLA calculation inconsistency</w:t>
            </w:r>
          </w:p>
        </w:tc>
        <w:tc>
          <w:tcPr>
            <w:tcW w:type="dxa" w:w="7920"/>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Treat the authoritative SLA service as the source of truth; do not duplicate SLA mathematics in UI code.</w:t>
            </w:r>
          </w:p>
        </w:tc>
      </w:tr>
      <w:tr>
        <w:trPr>
          <w:cantSplit/>
        </w:trPr>
        <w:tc>
          <w:tcPr>
            <w:tcW w:type="dxa" w:w="259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AI recommendation unavailable</w:t>
            </w:r>
          </w:p>
        </w:tc>
        <w:tc>
          <w:tcPr>
            <w:tcW w:type="dxa" w:w="7920"/>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Continue using approved SOP/KB and resolver expertise; do not block ticket execution.</w:t>
            </w:r>
          </w:p>
        </w:tc>
      </w:tr>
    </w:tbl>
    <w:p>
      <w:pPr>
        <w:spacing w:after="0"/>
      </w:pPr>
    </w:p>
    <w:p>
      <w:pPr>
        <w:keepNext/>
        <w:spacing w:before="20" w:after="60"/>
      </w:pPr>
      <w:r>
        <w:rPr>
          <w:rFonts w:ascii="Aptos" w:hAnsi="Aptos"/>
          <w:b/>
          <w:color w:val="1F5AA6"/>
          <w:sz w:val="21"/>
        </w:rPr>
        <w:t>7.2 Key Operational Metrics</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2592"/>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Metric</w:t>
            </w:r>
          </w:p>
        </w:tc>
        <w:tc>
          <w:tcPr>
            <w:tcW w:type="dxa" w:w="4608"/>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Definition</w:t>
            </w:r>
          </w:p>
        </w:tc>
        <w:tc>
          <w:tcPr>
            <w:tcW w:type="dxa" w:w="3312"/>
            <w:shd w:fill="17365D"/>
            <w:vAlign w:val="center"/>
            <w:tcBorders>
              <w:top w:sz="4" w:val="single" w:color="D9E3ED"/>
              <w:left w:sz="4" w:val="single" w:color="D9E3ED"/>
              <w:bottom w:sz="4" w:val="single" w:color="D9E3ED"/>
              <w:right w:sz="4" w:val="single" w:color="D9E3ED"/>
            </w:tcBorders>
          </w:tcPr>
          <w:p>
            <w:r/>
            <w:r>
              <w:rPr>
                <w:rFonts w:ascii="Aptos" w:hAnsi="Aptos"/>
                <w:b/>
                <w:color w:val="FFFFFF"/>
                <w:sz w:val="14"/>
              </w:rPr>
              <w:t>Use</w:t>
            </w:r>
          </w:p>
        </w:tc>
      </w:tr>
      <w:tr>
        <w:trPr>
          <w:cantSplit/>
        </w:trPr>
        <w:tc>
          <w:tcPr>
            <w:tcW w:type="dxa" w:w="25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First-response SLA compliance</w:t>
            </w:r>
          </w:p>
        </w:tc>
        <w:tc>
          <w:tcPr>
            <w:tcW w:type="dxa" w:w="460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Percentage of tickets receiving first response within commitment.</w:t>
            </w:r>
          </w:p>
        </w:tc>
        <w:tc>
          <w:tcPr>
            <w:tcW w:type="dxa" w:w="33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Identify service responsiveness issues.</w:t>
            </w:r>
          </w:p>
        </w:tc>
      </w:tr>
      <w:tr>
        <w:trPr>
          <w:cantSplit/>
        </w:trPr>
        <w:tc>
          <w:tcPr>
            <w:tcW w:type="dxa" w:w="259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Resolution SLA compliance</w:t>
            </w:r>
          </w:p>
        </w:tc>
        <w:tc>
          <w:tcPr>
            <w:tcW w:type="dxa" w:w="460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Percentage resolved within commitment.</w:t>
            </w:r>
          </w:p>
        </w:tc>
        <w:tc>
          <w:tcPr>
            <w:tcW w:type="dxa" w:w="331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Measure operational delivery.</w:t>
            </w:r>
          </w:p>
        </w:tc>
      </w:tr>
      <w:tr>
        <w:trPr>
          <w:cantSplit/>
        </w:trPr>
        <w:tc>
          <w:tcPr>
            <w:tcW w:type="dxa" w:w="25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Unassigned age</w:t>
            </w:r>
          </w:p>
        </w:tc>
        <w:tc>
          <w:tcPr>
            <w:tcW w:type="dxa" w:w="460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Elapsed time from creation to resolver assignment.</w:t>
            </w:r>
          </w:p>
        </w:tc>
        <w:tc>
          <w:tcPr>
            <w:tcW w:type="dxa" w:w="33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Identify queue and workforce bottlenecks.</w:t>
            </w:r>
          </w:p>
        </w:tc>
      </w:tr>
      <w:tr>
        <w:trPr>
          <w:cantSplit/>
        </w:trPr>
        <w:tc>
          <w:tcPr>
            <w:tcW w:type="dxa" w:w="259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Resolver utilization</w:t>
            </w:r>
          </w:p>
        </w:tc>
        <w:tc>
          <w:tcPr>
            <w:tcW w:type="dxa" w:w="460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Open/effective workload relative to configured capacity.</w:t>
            </w:r>
          </w:p>
        </w:tc>
        <w:tc>
          <w:tcPr>
            <w:tcW w:type="dxa" w:w="331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Manage workload concentration.</w:t>
            </w:r>
          </w:p>
        </w:tc>
      </w:tr>
      <w:tr>
        <w:trPr>
          <w:cantSplit/>
        </w:trPr>
        <w:tc>
          <w:tcPr>
            <w:tcW w:type="dxa" w:w="25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Manual override rate</w:t>
            </w:r>
          </w:p>
        </w:tc>
        <w:tc>
          <w:tcPr>
            <w:tcW w:type="dxa" w:w="460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Percentage of assignments made manually rather than automatically.</w:t>
            </w:r>
          </w:p>
        </w:tc>
        <w:tc>
          <w:tcPr>
            <w:tcW w:type="dxa" w:w="33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Identify gaps in team taxonomy or workforce configuration.</w:t>
            </w:r>
          </w:p>
        </w:tc>
      </w:tr>
      <w:tr>
        <w:trPr>
          <w:cantSplit/>
        </w:trPr>
        <w:tc>
          <w:tcPr>
            <w:tcW w:type="dxa" w:w="259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Assignment quality</w:t>
            </w:r>
          </w:p>
        </w:tc>
        <w:tc>
          <w:tcPr>
            <w:tcW w:type="dxa" w:w="4608"/>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Frequency of reassignment, SLA breach after assignment and skill-fit outcomes.</w:t>
            </w:r>
          </w:p>
        </w:tc>
        <w:tc>
          <w:tcPr>
            <w:tcW w:type="dxa" w:w="3312"/>
            <w:shd w:fill="FFFFFF"/>
            <w:vAlign w:val="top"/>
            <w:tcBorders>
              <w:top w:sz="4" w:val="single" w:color="D9E3ED"/>
              <w:left w:sz="4" w:val="single" w:color="D9E3ED"/>
              <w:bottom w:sz="4" w:val="single" w:color="D9E3ED"/>
              <w:right w:sz="4" w:val="single" w:color="D9E3ED"/>
            </w:tcBorders>
          </w:tcPr>
          <w:p>
            <w:r/>
            <w:r>
              <w:rPr>
                <w:rFonts w:ascii="Aptos" w:hAnsi="Aptos"/>
                <w:color w:val="243447"/>
                <w:sz w:val="14"/>
              </w:rPr>
              <w:t>Tune routing weights and workforce policy.</w:t>
            </w:r>
          </w:p>
        </w:tc>
      </w:tr>
      <w:tr>
        <w:trPr>
          <w:cantSplit/>
        </w:trPr>
        <w:tc>
          <w:tcPr>
            <w:tcW w:type="dxa" w:w="259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Knowledge reuse</w:t>
            </w:r>
          </w:p>
        </w:tc>
        <w:tc>
          <w:tcPr>
            <w:tcW w:type="dxa" w:w="4608"/>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Resolved tickets referencing approved knowledge or similar cases.</w:t>
            </w:r>
          </w:p>
        </w:tc>
        <w:tc>
          <w:tcPr>
            <w:tcW w:type="dxa" w:w="3312"/>
            <w:shd w:fill="F5F8FB"/>
            <w:vAlign w:val="top"/>
            <w:tcBorders>
              <w:top w:sz="4" w:val="single" w:color="D9E3ED"/>
              <w:left w:sz="4" w:val="single" w:color="D9E3ED"/>
              <w:bottom w:sz="4" w:val="single" w:color="D9E3ED"/>
              <w:right w:sz="4" w:val="single" w:color="D9E3ED"/>
            </w:tcBorders>
          </w:tcPr>
          <w:p>
            <w:r/>
            <w:r>
              <w:rPr>
                <w:rFonts w:ascii="Aptos" w:hAnsi="Aptos"/>
                <w:color w:val="243447"/>
                <w:sz w:val="14"/>
              </w:rPr>
              <w:t>Measure operational learning.</w:t>
            </w:r>
          </w:p>
        </w:tc>
      </w:tr>
    </w:tbl>
    <w:p>
      <w:pPr>
        <w:spacing w:after="0"/>
      </w:pPr>
    </w:p>
    <w:p>
      <w:pPr>
        <w:keepNext/>
        <w:spacing w:before="20" w:after="60"/>
      </w:pPr>
      <w:r>
        <w:rPr>
          <w:rFonts w:ascii="Aptos" w:hAnsi="Aptos"/>
          <w:b/>
          <w:color w:val="1F5AA6"/>
          <w:sz w:val="21"/>
        </w:rPr>
        <w:t>7.3 Continuous Improvement Cycle</w:t>
      </w:r>
    </w:p>
    <w:p>
      <w:pPr>
        <w:pStyle w:val="ListNumber"/>
        <w:spacing w:after="50" w:line="245" w:lineRule="auto"/>
      </w:pPr>
      <w:r>
        <w:rPr>
          <w:rFonts w:ascii="Aptos" w:hAnsi="Aptos"/>
          <w:color w:val="243447"/>
          <w:sz w:val="16"/>
        </w:rPr>
        <w:t>Review SLA breaches, assignment skips, reassignments and escalations weekly.</w:t>
      </w:r>
    </w:p>
    <w:p>
      <w:pPr>
        <w:pStyle w:val="ListNumber"/>
        <w:spacing w:after="50" w:line="245" w:lineRule="auto"/>
      </w:pPr>
      <w:r>
        <w:rPr>
          <w:rFonts w:ascii="Aptos" w:hAnsi="Aptos"/>
          <w:color w:val="243447"/>
          <w:sz w:val="16"/>
        </w:rPr>
        <w:t>Identify patterns in failed routing, missing skills or workload concentration.</w:t>
      </w:r>
    </w:p>
    <w:p>
      <w:pPr>
        <w:pStyle w:val="ListNumber"/>
        <w:spacing w:after="50" w:line="245" w:lineRule="auto"/>
      </w:pPr>
      <w:r>
        <w:rPr>
          <w:rFonts w:ascii="Aptos" w:hAnsi="Aptos"/>
          <w:color w:val="243447"/>
          <w:sz w:val="16"/>
        </w:rPr>
        <w:t>Update team taxonomy, workforce settings, SOP content or knowledge articles as appropriate.</w:t>
      </w:r>
    </w:p>
    <w:p>
      <w:pPr>
        <w:pStyle w:val="ListNumber"/>
        <w:spacing w:after="50" w:line="245" w:lineRule="auto"/>
      </w:pPr>
      <w:r>
        <w:rPr>
          <w:rFonts w:ascii="Aptos" w:hAnsi="Aptos"/>
          <w:color w:val="243447"/>
          <w:sz w:val="16"/>
        </w:rPr>
        <w:t>Test routing and SLA changes against representative tickets before production rollout.</w:t>
      </w:r>
    </w:p>
    <w:p>
      <w:pPr>
        <w:pStyle w:val="ListNumber"/>
        <w:spacing w:after="50" w:line="245" w:lineRule="auto"/>
      </w:pPr>
      <w:r>
        <w:rPr>
          <w:rFonts w:ascii="Aptos" w:hAnsi="Aptos"/>
          <w:color w:val="243447"/>
          <w:sz w:val="16"/>
        </w:rPr>
        <w:t>Record approved changes in the document-control mechanism and communicate them to affected teams.</w:t>
      </w:r>
    </w:p>
    <w:sectPr w:rsidR="00FC693F" w:rsidRPr="0006063C" w:rsidSect="00034616">
      <w:headerReference w:type="default" r:id="rId9"/>
      <w:footerReference w:type="default" r:id="rId10"/>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78A"/>
        <w:sz w:val="15"/>
      </w:rPr>
      <w:t xml:space="preserve">SOP-ESOPS-001  |  Version 1.0  |  Internal 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8778A"/>
        <w:sz w:val="15"/>
      </w:rPr>
      <w:t>ENTERPRISE SUPPORT OPERATIONS  |  CONTROLLED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Complaint Routing &amp; Resolution — Standard Operating Procedure</dc:title>
  <dc:subject>Sample corporate SOP for AI-assisted complaint routing and resolution operations</dc:subject>
  <dc:creator>Enterprise Support Operations</dc:creator>
  <cp:keywords>SOP, complaint routing, service desk, SLA, resolver, AI, workforce, escalation</cp:keywords>
  <dc:description>Sample controlled SOP document.</dc:description>
  <cp:lastModifiedBy/>
  <cp:revision>1</cp:revision>
  <dcterms:created xsi:type="dcterms:W3CDTF">2013-12-23T23:15:00Z</dcterms:created>
  <dcterms:modified xsi:type="dcterms:W3CDTF">2013-12-23T23:15:00Z</dcterms:modified>
  <cp:category/>
</cp:coreProperties>
</file>