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120"/>
        <w:jc w:val="center"/>
      </w:pPr>
      <w:r>
        <w:rPr>
          <w:rFonts w:ascii="Arial" w:hAnsi="Arial"/>
          <w:b/>
          <w:sz w:val="56"/>
          <w:color w:val="1B365D"/>
        </w:rPr>
        <w:t>ENTERPRISE MULTI-AGENT AI</w:t>
      </w:r>
    </w:p>
    <w:p>
      <w:pPr>
        <w:spacing w:before="60" w:after="240"/>
        <w:jc w:val="center"/>
      </w:pPr>
      <w:r>
        <w:rPr>
          <w:rFonts w:ascii="Georgia" w:hAnsi="Georgia"/>
          <w:i/>
          <w:sz w:val="28"/>
          <w:color w:val="555555"/>
        </w:rPr>
        <w:t>Comprehensive Narrative Report Synthesized from Slide Deck</w:t>
      </w:r>
    </w:p>
    <w:p>
      <w:pPr>
        <w:spacing w:before="120" w:after="360"/>
        <w:jc w:val="center"/>
      </w:pPr>
      <w:r>
        <w:rPr>
          <w:sz w:val="18"/>
          <w:color w:val="777777"/>
        </w:rPr>
        <w:t>Source Deck Slides: 5 | Conversion Engine: OpenXML Bidirectional Converter | Date: 2025</w:t>
      </w:r>
    </w:p>
    <w:tbl>
      <w:tblPr>
        <w:tblW w:w="9200" w:type="dxa"/>
        <w:tblBorders>
          <w:left w:val="single" w:sz="36" w:space="0" w:color="1B365D"/>
          <w:top w:val="none"/>
          <w:right w:val="none"/>
          <w:bottom w:val="none"/>
        </w:tblBorders>
        <w:tblCellMar>
          <w:top w:w="180" w:type="dxa"/>
          <w:bottom w:w="180" w:type="dxa"/>
          <w:left w:w="240" w:type="dxa"/>
          <w:right w:w="240" w:type="dxa"/>
        </w:tblCellMar>
      </w:tblPr>
      <w:tr>
        <w:tc>
          <w:tcPr>
            <w:tcW w:w="9200" w:type="dxa"/>
            <w:shd w:val="clear" w:color="auto" w:fill="F1F5F9"/>
          </w:tcPr>
          <w:p>
            <w:pPr>
              <w:spacing w:after="80"/>
            </w:pPr>
            <w:r>
              <w:rPr>
                <w:b/>
                <w:color w:val="1B365D"/>
                <w:sz w:val="24"/>
              </w:rPr>
              <w:t>Executive Briefing &amp; Synthesis</w:t>
            </w:r>
          </w:p>
          <w:p>
            <w:r>
              <w:rPr>
                <w:sz w:val="20"/>
                <w:color w:val="334155"/>
              </w:rPr>
              <w:t>This comprehensive narrative document was compiled directly from the 5-slide presentation deck, converting visual cards and metrics into structured chapters.</w:t>
            </w:r>
          </w:p>
        </w:tc>
      </w:tr>
    </w:tbl>
    <w:p>
      <w:pPr>
        <w:pStyle w:val="Heading1"/>
      </w:pPr>
      <w:r>
        <w:t>1. ENTERPRISE MULTI-AGENT AI</w:t>
      </w:r>
    </w:p>
    <w:p>
      <w:pPr>
        <w:spacing w:line="276" w:lineRule="auto" w:after="160"/>
      </w:pPr>
      <w:r>
        <w:t>Executive Strategy &amp; ROI Briefing</w:t>
      </w:r>
    </w:p>
    <w:p>
      <w:pPr>
        <w:spacing w:line="276" w:lineRule="auto" w:after="160"/>
      </w:pPr>
      <w:r>
        <w:t>Condensed Board Deck | 2025</w:t>
      </w:r>
    </w:p>
    <w:p>
      <w:pPr>
        <w:pStyle w:val="Heading1"/>
      </w:pPr>
      <w:r>
        <w:t>2. STRATEGIC OVERVIEW</w:t>
      </w:r>
    </w:p>
    <w:p>
      <w:pPr>
        <w:spacing w:line="276" w:lineRule="auto" w:after="160"/>
      </w:pPr>
      <w:r>
        <w:t>Executive Overview (Concise)</w:t>
      </w:r>
    </w:p>
    <w:p>
      <w:pPr>
        <w:spacing w:line="276" w:lineRule="auto" w:after="160"/>
      </w:pPr>
      <w:r>
        <w:t>EXECUTIVE CALLOUT:</w:t>
      </w:r>
    </w:p>
    <w:p>
      <w:pPr>
        <w:spacing w:line="276" w:lineRule="auto" w:after="160"/>
      </w:pPr>
      <w:r>
        <w:t>Autonomous multi-agent architecture accelerates decision cycles by 65% with 100% brand fidelity.</w:t>
      </w:r>
    </w:p>
    <w:p>
      <w:pPr>
        <w:spacing w:line="276" w:lineRule="auto" w:after="160"/>
      </w:pPr>
      <w:r>
        <w:t>Pillar 01</w:t>
      </w:r>
    </w:p>
    <w:p>
      <w:pPr>
        <w:pStyle w:val="Heading1"/>
      </w:pPr>
      <w:r>
        <w:t>3. KEY BUSINESS IMPACT &amp; METRICS</w:t>
      </w:r>
    </w:p>
    <w:p>
      <w:pPr>
        <w:spacing w:line="276" w:lineRule="auto" w:after="160"/>
      </w:pPr>
      <w:r>
        <w:t>Key ROI Highlights</w:t>
      </w:r>
    </w:p>
    <w:p>
      <w:pPr>
        <w:spacing w:line="276" w:lineRule="auto" w:after="160"/>
      </w:pPr>
      <w:r>
        <w:t>Time Saved</w:t>
      </w:r>
    </w:p>
    <w:p>
      <w:pPr>
        <w:spacing w:line="276" w:lineRule="auto" w:after="160"/>
      </w:pPr>
      <w:r>
        <w:t>From 4.5 hrs to 18 sec</w:t>
      </w:r>
    </w:p>
    <w:p>
      <w:pPr>
        <w:pStyle w:val="Heading1"/>
      </w:pPr>
      <w:r>
        <w:t>4. MARKET DYNAMICS</w:t>
      </w:r>
    </w:p>
    <w:p>
      <w:pPr>
        <w:spacing w:line="276" w:lineRule="auto" w:after="160"/>
      </w:pPr>
      <w:r>
        <w:t>Core Architectural Pillars</w:t>
      </w:r>
    </w:p>
    <w:p>
      <w:pPr>
        <w:spacing w:line="276" w:lineRule="auto" w:after="160"/>
      </w:pPr>
      <w:r>
        <w:t>Orchestrator</w:t>
      </w:r>
    </w:p>
    <w:p>
      <w:pPr>
        <w:spacing w:line="276" w:lineRule="auto" w:after="160"/>
      </w:pPr>
      <w:r>
        <w:t>Supervisor routing and dispatch.</w:t>
      </w:r>
    </w:p>
    <w:p>
      <w:pPr>
        <w:spacing w:line="276" w:lineRule="auto" w:after="160"/>
      </w:pPr>
      <w:r>
        <w:t>Sub-50ms</w:t>
      </w:r>
    </w:p>
    <w:p>
      <w:pPr>
        <w:pStyle w:val="Heading1"/>
      </w:pPr>
      <w:r>
        <w:t>5. IMPLEMENTATION ROADMAP</w:t>
      </w:r>
    </w:p>
    <w:p>
      <w:pPr>
        <w:spacing w:line="276" w:lineRule="auto" w:after="160"/>
      </w:pPr>
      <w:r>
        <w:t>Quarterly Milestones</w:t>
      </w:r>
    </w:p>
    <w:p>
      <w:pPr>
        <w:spacing w:line="276" w:lineRule="auto" w:after="160"/>
      </w:pPr>
      <w:r>
        <w:t>Ingest</w:t>
      </w:r>
    </w:p>
    <w:p>
      <w:pPr>
        <w:spacing w:line="276" w:lineRule="auto" w:after="160"/>
      </w:pPr>
      <w:r>
        <w:t>• Supervisor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color w:val="222222"/>
      </w:rPr>
    </w:rPrDefault>
  </w:docDefaults>
  <w:style w:type="paragraph" w:styleId="Normal" w:default="1">
    <w:name w:val="Normal"/>
    <w:pPr>
      <w:spacing w:line="276" w:lineRule="auto" w:after="160"/>
    </w:pPr>
  </w:style>
  <w:style w:type="paragraph" w:styleId="Heading1">
    <w:name w:val="heading 1"/>
    <w:pPr>
      <w:spacing w:before="360" w:after="160"/>
      <w:outlineLvl w:val="0"/>
    </w:pPr>
    <w:rPr>
      <w:rFonts w:ascii="Arial" w:hAnsi="Arial"/>
      <w:b/>
      <w:color w:val="1B365D"/>
      <w:sz w:val="44"/>
    </w:rPr>
  </w:style>
  <w:style w:type="paragraph" w:styleId="Heading2">
    <w:name w:val="heading 2"/>
    <w:pPr>
      <w:spacing w:before="240" w:after="120"/>
      <w:outlineLvl w:val="1"/>
    </w:pPr>
    <w:rPr>
      <w:rFonts w:ascii="Arial" w:hAnsi="Arial"/>
      <w:b/>
      <w:color w:val="00A3E0"/>
      <w:sz w:val="32"/>
    </w:rPr>
  </w:style>
  <w:style w:type="paragraph" w:styleId="Heading3">
    <w:name w:val="heading 3"/>
    <w:pPr>
      <w:spacing w:before="180" w:after="80"/>
      <w:outlineLvl w:val="2"/>
    </w:pPr>
    <w:rPr>
      <w:rFonts w:ascii="Arial" w:hAnsi="Arial"/>
      <w:b/>
      <w:color w:val="333333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Enterprise Multi-Agent DocuSynth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Narrative Report Converted from Presentation</dc:title>
  <dc:creator>Enterprise Multi-Agent AI System</dc:creator>
  <cp:lastModifiedBy>Supervisor Agent</cp:lastModifiedBy>
  <cp:revision>1</cp:revision>
</cp:coreProperties>
</file>