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120"/>
        <w:jc w:val="center"/>
      </w:pPr>
      <w:r>
        <w:rPr>
          <w:rFonts w:ascii="Arial" w:hAnsi="Arial"/>
          <w:b/>
          <w:sz w:val="56"/>
          <w:color w:val="1B365D"/>
        </w:rPr>
        <w:t>ACME ENTERPRISE PROPOSAL TEMPLATE</w:t>
      </w:r>
    </w:p>
    <w:p>
      <w:pPr>
        <w:spacing w:before="60" w:after="240"/>
        <w:jc w:val="center"/>
      </w:pPr>
      <w:r>
        <w:rPr>
          <w:rFonts w:ascii="Georgia" w:hAnsi="Georgia"/>
          <w:i/>
          <w:sz w:val="28"/>
          <w:color w:val="555555"/>
        </w:rPr>
        <w:t>Standard Corporate Proposal and Technical Specifications Layout</w:t>
      </w:r>
    </w:p>
    <w:p>
      <w:pPr>
        <w:spacing w:before="120" w:after="360"/>
        <w:jc w:val="center"/>
      </w:pPr>
      <w:r>
        <w:rPr>
          <w:sz w:val="18"/>
          <w:color w:val="777777"/>
        </w:rPr>
        <w:t>Organization: Acme Global Solutions | Style Standard: v2.4 Enterprise | Confidentiality: Restricted</w:t>
      </w:r>
    </w:p>
    <w:tbl>
      <w:tblPr>
        <w:tblW w:w="9200" w:type="dxa"/>
        <w:tblBorders>
          <w:left w:val="single" w:sz="36" w:space="0" w:color="1B365D"/>
          <w:top w:val="none"/>
          <w:right w:val="none"/>
          <w:bottom w:val="none"/>
        </w:tblBorders>
        <w:tblCellMar>
          <w:top w:w="180" w:type="dxa"/>
          <w:bottom w:w="180" w:type="dxa"/>
          <w:left w:w="240" w:type="dxa"/>
          <w:right w:w="240" w:type="dxa"/>
        </w:tblCellMar>
      </w:tblPr>
      <w:tr>
        <w:tc>
          <w:tcPr>
            <w:tcW w:w="9200" w:type="dxa"/>
            <w:shd w:val="clear" w:color="auto" w:fill="F0F4F8"/>
          </w:tcPr>
          <w:p>
            <w:pPr>
              <w:spacing w:after="80"/>
            </w:pPr>
            <w:r>
              <w:rPr>
                <w:b/>
                <w:color w:val="1B365D"/>
                <w:sz w:val="24"/>
              </w:rPr>
              <w:t>Corporate Template Directives</w:t>
            </w:r>
          </w:p>
          <w:p>
            <w:r>
              <w:rPr>
                <w:sz w:val="20"/>
                <w:color w:val="334155"/>
              </w:rPr>
              <w:t>All generated proposals must strictly adhere to Georgia typography for narrative sections, Arial Bold for headings, Deep Navy (#1B365D) for primary branding, and Cyan (#00A3E0) for sub-headers and table banners.</w:t>
            </w:r>
          </w:p>
        </w:tc>
      </w:tr>
    </w:tbl>
    <w:p>
      <w:pPr>
        <w:pStyle w:val="Heading1"/>
      </w:pPr>
      <w:r>
        <w:t>1. Proposal Scope and Strategic Objectives</w:t>
      </w:r>
    </w:p>
    <w:p>
      <w:pPr>
        <w:spacing w:line="276" w:lineRule="auto" w:after="160"/>
      </w:pPr>
      <w:r>
        <w:t>This standard template establishes the formatting guidelines for multi-agent system proposals, statements of work, and architecture assessments.</w:t>
      </w:r>
    </w:p>
    <w:p>
      <w:pPr>
        <w:ind w:left="480" w:hanging="240"/>
        <w:spacing w:after="100"/>
      </w:pPr>
      <w:r>
        <w:rPr>
          <w:b/>
          <w:color w:val="1B365D"/>
        </w:rPr>
        <w:t>• </w:t>
      </w:r>
      <w:r>
        <w:t>Strict adherence to 1.0 inch page margins.</w:t>
      </w:r>
    </w:p>
    <w:p>
      <w:pPr>
        <w:ind w:left="480" w:hanging="240"/>
        <w:spacing w:after="100"/>
      </w:pPr>
      <w:r>
        <w:rPr>
          <w:b/>
          <w:color w:val="1B365D"/>
        </w:rPr>
        <w:t>• </w:t>
      </w:r>
      <w:r>
        <w:t>Color-coordinated tables with alternating row shading.</w:t>
      </w:r>
    </w:p>
    <w:p>
      <w:pPr>
        <w:ind w:left="480" w:hanging="240"/>
        <w:spacing w:after="100"/>
      </w:pPr>
      <w:r>
        <w:rPr>
          <w:b/>
          <w:color w:val="1B365D"/>
        </w:rPr>
        <w:t>• </w:t>
      </w:r>
      <w:r>
        <w:t>Executive callouts with left border visual anchors.</w:t>
      </w:r>
    </w:p>
    <w:p>
      <w:pPr>
        <w:pStyle w:val="Heading1"/>
      </w:pPr>
      <w:r>
        <w:t>2. Technical Specifications &amp; Metric Standards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tcW w:w="3066" w:type="dxa"/>
            <w:shd w:val="clear" w:color="auto" w:fill="1B365D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066" w:type="dxa"/>
            <w:shd w:val="clear" w:color="auto" w:fill="1B365D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Specification</w:t>
            </w:r>
          </w:p>
        </w:tc>
        <w:tc>
          <w:tcPr>
            <w:tcW w:w="3066" w:type="dxa"/>
            <w:shd w:val="clear" w:color="auto" w:fill="1B365D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Compliance SLA</w:t>
            </w:r>
          </w:p>
        </w:tc>
      </w:tr>
      <w:tr>
        <w:tc>
          <w:tcPr>
            <w:tcW w:w="3066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Typography</w:t>
            </w:r>
          </w:p>
        </w:tc>
        <w:tc>
          <w:tcPr>
            <w:tcW w:w="3066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Georgia Regular / Arial Bold</w:t>
            </w:r>
          </w:p>
        </w:tc>
        <w:tc>
          <w:tcPr>
            <w:tcW w:w="3066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Strict Brand Enforced</w:t>
            </w:r>
          </w:p>
        </w:tc>
      </w:tr>
      <w:tr>
        <w:tc>
          <w:tcPr>
            <w:tcW w:w="3066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Primary Palette</w:t>
            </w:r>
          </w:p>
        </w:tc>
        <w:tc>
          <w:tcPr>
            <w:tcW w:w="3066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#1B365D Navy &amp; #00A3E0 Cyan</w:t>
            </w:r>
          </w:p>
        </w:tc>
        <w:tc>
          <w:tcPr>
            <w:tcW w:w="3066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100% Color Match</w:t>
            </w:r>
          </w:p>
        </w:tc>
      </w:tr>
      <w:tr>
        <w:tc>
          <w:tcPr>
            <w:tcW w:w="3066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Table Formatting</w:t>
            </w:r>
          </w:p>
        </w:tc>
        <w:tc>
          <w:tcPr>
            <w:tcW w:w="3066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Zebra-Striping Slate #F8FAFC</w:t>
            </w:r>
          </w:p>
        </w:tc>
        <w:tc>
          <w:tcPr>
            <w:tcW w:w="3066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Standardized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  <w:color w:val="222222"/>
      </w:rPr>
    </w:rPrDefault>
  </w:docDefaults>
  <w:style w:type="paragraph" w:styleId="Normal" w:default="1">
    <w:name w:val="Normal"/>
    <w:pPr>
      <w:spacing w:line="276" w:lineRule="auto" w:after="160"/>
    </w:pPr>
  </w:style>
  <w:style w:type="paragraph" w:styleId="Heading1">
    <w:name w:val="heading 1"/>
    <w:pPr>
      <w:spacing w:before="360" w:after="160"/>
      <w:outlineLvl w:val="0"/>
    </w:pPr>
    <w:rPr>
      <w:rFonts w:ascii="Arial" w:hAnsi="Arial"/>
      <w:b/>
      <w:color w:val="1B365D"/>
      <w:sz w:val="44"/>
    </w:rPr>
  </w:style>
  <w:style w:type="paragraph" w:styleId="Heading2">
    <w:name w:val="heading 2"/>
    <w:pPr>
      <w:spacing w:before="240" w:after="120"/>
      <w:outlineLvl w:val="1"/>
    </w:pPr>
    <w:rPr>
      <w:rFonts w:ascii="Arial" w:hAnsi="Arial"/>
      <w:b/>
      <w:color w:val="00A3E0"/>
      <w:sz w:val="32"/>
    </w:rPr>
  </w:style>
  <w:style w:type="paragraph" w:styleId="Heading3">
    <w:name w:val="heading 3"/>
    <w:pPr>
      <w:spacing w:before="180" w:after="80"/>
      <w:outlineLvl w:val="2"/>
    </w:pPr>
    <w:rPr>
      <w:rFonts w:ascii="Arial" w:hAnsi="Arial"/>
      <w:b/>
      <w:color w:val="333333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Enterprise Multi-Agent DocuSynth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Proposal Template: Acme Technologies</dc:title>
  <dc:creator>Enterprise Multi-Agent AI System</dc:creator>
  <cp:lastModifiedBy>Supervisor Agent</cp:lastModifiedBy>
  <cp:revision>1</cp:revision>
</cp:coreProperties>
</file>