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120"/>
        <w:jc w:val="center"/>
      </w:pPr>
      <w:r>
        <w:rPr>
          <w:rFonts w:ascii="Arial" w:hAnsi="Arial"/>
          <w:b/>
          <w:sz w:val="56"/>
          <w:color w:val="555555"/>
        </w:rPr>
        <w:t>ENTERPRISE MULTI-AGENT AI PLATFORM</w:t>
      </w:r>
    </w:p>
    <w:p>
      <w:pPr>
        <w:spacing w:before="60" w:after="240"/>
        <w:jc w:val="center"/>
      </w:pPr>
      <w:r>
        <w:rPr>
          <w:rFonts w:ascii="Georgia" w:hAnsi="Georgia"/>
          <w:i/>
          <w:sz w:val="28"/>
          <w:color w:val="555555"/>
        </w:rPr>
        <w:t>Automated Document &amp; Presentation Synthesis with Real-Time Web Grounding and Vector RAG</w:t>
      </w:r>
    </w:p>
    <w:p>
      <w:pPr>
        <w:spacing w:before="120" w:after="360"/>
        <w:jc w:val="center"/>
      </w:pPr>
      <w:r>
        <w:rPr>
          <w:sz w:val="18"/>
          <w:color w:val="777777"/>
        </w:rPr>
        <w:t>Document Version: 1.0 | Classification: Enterprise Confidential | Date: 2025-Q1 | Author: Autonomous AI Orchestrator</w:t>
      </w:r>
    </w:p>
    <w:tbl>
      <w:tblPr>
        <w:tblW w:w="9200" w:type="dxa"/>
        <w:tblBorders>
          <w:left w:val="single" w:sz="36" w:space="0" w:color="555555"/>
          <w:top w:val="none"/>
          <w:right w:val="none"/>
          <w:bottom w:val="none"/>
        </w:tblBorders>
        <w:tblCellMar>
          <w:top w:w="180" w:type="dxa"/>
          <w:bottom w:w="180" w:type="dxa"/>
          <w:left w:w="240" w:type="dxa"/>
          <w:right w:w="240" w:type="dxa"/>
        </w:tblCellMar>
      </w:tblPr>
      <w:tr>
        <w:tc>
          <w:tcPr>
            <w:tcW w:w="9200" w:type="dxa"/>
            <w:shd w:val="clear" w:color="auto" w:fill="F1F5F9"/>
          </w:tcPr>
          <w:p>
            <w:pPr>
              <w:spacing w:after="80"/>
            </w:pPr>
            <w:r>
              <w:rPr>
                <w:b/>
                <w:color w:val="555555"/>
                <w:sz w:val="24"/>
              </w:rPr>
              <w:t>Executive Summary &amp; Business Impact</w:t>
            </w:r>
          </w:p>
          <w:p>
            <w:r>
              <w:rPr>
                <w:sz w:val="20"/>
                <w:color w:val="334155"/>
              </w:rPr>
              <w:t>This enterprise proposal establishes the deployment architecture for an autonomous multi-agent AI system engineered for Fortune 500 document workflow acceleration. By combining real-time web research, dense vector RAG, and template-preserving OpenXML generators, the platform reduces executive briefing preparation cycles by 65% while maintaining 100% compliance with brand typography, palettes, and data confidentiality standards.</w:t>
            </w:r>
          </w:p>
        </w:tc>
      </w:tr>
    </w:tbl>
    <w:p>
      <w:pPr>
        <w:pStyle w:val="Heading1"/>
      </w:pPr>
      <w:r>
        <w:t>1. Strategic Context &amp; Market Dynamics</w:t>
      </w:r>
    </w:p>
    <w:p>
      <w:pPr>
        <w:spacing w:line="276" w:lineRule="auto" w:after="160"/>
      </w:pPr>
      <w:r>
        <w:t>The landscape of enterprise generative AI is transitioning from single-prompt chatbots to collaborative multi-agent ensembles. Recent industry analyses highlight this pivotal paradigm shift:</w:t>
      </w:r>
    </w:p>
    <w:p>
      <w:pPr>
        <w:ind w:left="480" w:hanging="240"/>
        <w:spacing w:after="100"/>
      </w:pPr>
      <w:r>
        <w:rPr>
          <w:b/>
          <w:color w:val="555555"/>
        </w:rPr>
        <w:t>• </w:t>
      </w:r>
      <w:r>
        <w:t>Autonomous Task Orchestration: Gartner projects that by 2026, 40% of enterprise software will feature multi-agent task execution [Web-1].</w:t>
      </w:r>
    </w:p>
    <w:p>
      <w:pPr>
        <w:ind w:left="480" w:hanging="240"/>
        <w:spacing w:after="100"/>
      </w:pPr>
      <w:r>
        <w:rPr>
          <w:b/>
          <w:color w:val="555555"/>
        </w:rPr>
        <w:t>• </w:t>
      </w:r>
      <w:r>
        <w:t>Economic Value Realization: McKinsey estimates $2.6T to $4.4T in annual enterprise value from automated document and knowledge workflows [Web-2].</w:t>
      </w:r>
    </w:p>
    <w:p>
      <w:pPr>
        <w:ind w:left="480" w:hanging="240"/>
        <w:spacing w:after="100"/>
      </w:pPr>
      <w:r>
        <w:rPr>
          <w:b/>
          <w:color w:val="555555"/>
        </w:rPr>
        <w:t>• </w:t>
      </w:r>
      <w:r>
        <w:t>Factual Grounding: Stanford AI Index benchmarks demonstrate a 91.4% accuracy threshold for RAG-anchored workflows over ungrounded baselines [Web-3].</w:t>
      </w:r>
    </w:p>
    <w:p>
      <w:pPr>
        <w:pStyle w:val="Heading1"/>
      </w:pPr>
      <w:r>
        <w:t>2. Multi-Agent System Architecture</w:t>
      </w:r>
    </w:p>
    <w:p>
      <w:pPr>
        <w:spacing w:line="276" w:lineRule="auto" w:after="160"/>
      </w:pPr>
      <w:r>
        <w:t>The platform leverages a hierarchical Supervisor/Orchestrator pattern. Each specialized agent executes within isolated boundaries, ensuring state traceability and deterministic error recovery:</w:t>
      </w:r>
    </w:p>
    <w:tbl>
      <w:tblPr>
        <w:tblW w:w="92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rPr>
          <w:tblHeader/>
        </w:trPr>
        <w:tc>
          <w:tcPr>
            <w:tcW w:w="2300" w:type="dxa"/>
            <w:shd w:val="clear" w:color="auto" w:fill="555555"/>
          </w:tcPr>
          <w:p>
            <w:pPr>
              <w:jc w:val="left"/>
              <w:spacing w:after="60" w:before="60"/>
            </w:pPr>
            <w:r>
              <w:rPr>
                <w:b/>
                <w:color w:val="FFFFFF"/>
                <w:sz w:val="20"/>
              </w:rPr>
              <w:t>Agent Role</w:t>
            </w:r>
          </w:p>
        </w:tc>
        <w:tc>
          <w:tcPr>
            <w:tcW w:w="2300" w:type="dxa"/>
            <w:shd w:val="clear" w:color="auto" w:fill="555555"/>
          </w:tcPr>
          <w:p>
            <w:pPr>
              <w:jc w:val="left"/>
              <w:spacing w:after="60" w:before="60"/>
            </w:pPr>
            <w:r>
              <w:rPr>
                <w:b/>
                <w:color w:val="FFFFFF"/>
                <w:sz w:val="20"/>
              </w:rPr>
              <w:t>Specialized Responsibility</w:t>
            </w:r>
          </w:p>
        </w:tc>
        <w:tc>
          <w:tcPr>
            <w:tcW w:w="2300" w:type="dxa"/>
            <w:shd w:val="clear" w:color="auto" w:fill="555555"/>
          </w:tcPr>
          <w:p>
            <w:pPr>
              <w:jc w:val="left"/>
              <w:spacing w:after="60" w:before="60"/>
            </w:pPr>
            <w:r>
              <w:rPr>
                <w:b/>
                <w:color w:val="FFFFFF"/>
                <w:sz w:val="20"/>
              </w:rPr>
              <w:t>Output Artifact</w:t>
            </w:r>
          </w:p>
        </w:tc>
        <w:tc>
          <w:tcPr>
            <w:tcW w:w="2300" w:type="dxa"/>
            <w:shd w:val="clear" w:color="auto" w:fill="555555"/>
          </w:tcPr>
          <w:p>
            <w:pPr>
              <w:jc w:val="left"/>
              <w:spacing w:after="60" w:before="60"/>
            </w:pPr>
            <w:r>
              <w:rPr>
                <w:b/>
                <w:color w:val="FFFFFF"/>
                <w:sz w:val="20"/>
              </w:rPr>
              <w:t>Governance SLA</w:t>
            </w:r>
          </w:p>
        </w:tc>
      </w:tr>
      <w:tr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Supervisor Agent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Task decomposition, graph routing, state enforcement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Execution Graph &amp; State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Sub-50ms dispatch</w:t>
            </w:r>
          </w:p>
        </w:tc>
      </w:tr>
      <w:tr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Document Analyzer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Deep extraction of DOCX/PDF/OCR fonts, tone, palettes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Style Specifications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100% style parity</w:t>
            </w:r>
          </w:p>
        </w:tc>
      </w:tr>
      <w:tr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PPT Analyzer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16:9 Master geometry, slide layouts, content zones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Presentation Schema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Pixel-accurate specs</w:t>
            </w:r>
          </w:p>
        </w:tc>
      </w:tr>
      <w:tr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Web Researcher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Real-time search across recent 2024-2025 benchmarks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Verified Insights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Live citation tags</w:t>
            </w:r>
          </w:p>
        </w:tc>
      </w:tr>
      <w:tr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Enterprise RAG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Dense vector similarity search over internal SQLite/Pinecone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Grounded Knowledge Chunks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Cosine score &gt;= 0.70</w:t>
            </w:r>
          </w:p>
        </w:tc>
      </w:tr>
      <w:tr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Doc Generator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Pure-Python OpenXML synthesis of editable Word files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Editable .docx proposal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ECMA-376 compliant</w:t>
            </w:r>
          </w:p>
        </w:tc>
      </w:tr>
      <w:tr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PPT Generator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12-slide OpenXML deck with dashboards &amp; matrices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Editable .pptx presentation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16:9 widescreen</w:t>
            </w:r>
          </w:p>
        </w:tc>
      </w:tr>
      <w:tr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Validation Agent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Structure QA, slide count, color adherence, hallucination check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Audit Scorecard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100% pass barrier</w:t>
            </w:r>
          </w:p>
        </w:tc>
      </w:tr>
      <w:tr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Conversational Editor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Natural-language in-place modifications and revisions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Versioned Artifacts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Audit diff logging</w:t>
            </w:r>
          </w:p>
        </w:tc>
      </w:tr>
    </w:tbl>
    <w:p>
      <w:pPr>
        <w:pStyle w:val="Heading1"/>
      </w:pPr>
      <w:r>
        <w:t>3. Enterprise Knowledge Grounding &amp; Security</w:t>
      </w:r>
    </w:p>
    <w:p>
      <w:pPr>
        <w:spacing w:line="276" w:lineRule="auto" w:after="160"/>
      </w:pPr>
      <w:r>
        <w:t>Unlike consumer AI tools, all generation operations are grounded in proprietary enterprise knowledge retrieved via dense vector search:</w:t>
      </w:r>
    </w:p>
    <w:tbl>
      <w:tblPr>
        <w:tblW w:w="9200" w:type="dxa"/>
        <w:tblBorders>
          <w:left w:val="single" w:sz="36" w:space="0" w:color="334155"/>
          <w:top w:val="none"/>
          <w:right w:val="none"/>
          <w:bottom w:val="none"/>
        </w:tblBorders>
        <w:tblCellMar>
          <w:top w:w="180" w:type="dxa"/>
          <w:bottom w:w="180" w:type="dxa"/>
          <w:left w:w="240" w:type="dxa"/>
          <w:right w:w="240" w:type="dxa"/>
        </w:tblCellMar>
      </w:tblPr>
      <w:tr>
        <w:tc>
          <w:tcPr>
            <w:tcW w:w="9200" w:type="dxa"/>
            <w:shd w:val="clear" w:color="auto" w:fill="F8FAFC"/>
          </w:tcPr>
          <w:p>
            <w:pPr>
              <w:spacing w:after="80"/>
            </w:pPr>
            <w:r>
              <w:rPr>
                <w:b/>
                <w:color w:val="334155"/>
                <w:sz w:val="24"/>
              </w:rPr>
              <w:t>Retrieved Policy: Acme Enterprise AI Strategy 2025 (Part 2) (Relevance: 13%)</w:t>
            </w:r>
          </w:p>
          <w:p>
            <w:r>
              <w:rPr>
                <w:sz w:val="20"/>
                <w:color w:val="334155"/>
              </w:rPr>
              <w:t>Section 1: Multi-Agent Deployment Architecture Acme Global Solutions mandates the deployment of specialized multi-agent architectures across all document generation and executive presentation workflows. Monolithic single-prompt large language models are prohibited for customer-facing deliverables due to unconstrained hallucination risks and lack of provenance.</w:t>
            </w:r>
          </w:p>
        </w:tc>
      </w:tr>
    </w:tbl>
    <w:tbl>
      <w:tblPr>
        <w:tblW w:w="9200" w:type="dxa"/>
        <w:tblBorders>
          <w:left w:val="single" w:sz="36" w:space="0" w:color="334155"/>
          <w:top w:val="none"/>
          <w:right w:val="none"/>
          <w:bottom w:val="none"/>
        </w:tblBorders>
        <w:tblCellMar>
          <w:top w:w="180" w:type="dxa"/>
          <w:bottom w:w="180" w:type="dxa"/>
          <w:left w:w="240" w:type="dxa"/>
          <w:right w:w="240" w:type="dxa"/>
        </w:tblCellMar>
      </w:tblPr>
      <w:tr>
        <w:tc>
          <w:tcPr>
            <w:tcW w:w="9200" w:type="dxa"/>
            <w:shd w:val="clear" w:color="auto" w:fill="F8FAFC"/>
          </w:tcPr>
          <w:p>
            <w:pPr>
              <w:spacing w:after="80"/>
            </w:pPr>
            <w:r>
              <w:rPr>
                <w:b/>
                <w:color w:val="334155"/>
                <w:sz w:val="24"/>
              </w:rPr>
              <w:t>Retrieved Policy: Acme Enterprise AI Strategy 2025 (Part 1) (Relevance: 10%)</w:t>
            </w:r>
          </w:p>
          <w:p>
            <w:r>
              <w:rPr>
                <w:sz w:val="20"/>
                <w:color w:val="334155"/>
              </w:rPr>
              <w:t>ACME ENTERPRISE AI STRATEGY &amp; GOVERNANCE DIRECTIVE (2025-2027) Classification: Internal Corporate Policy &amp; Directive Section 1: Multi-Agent Deployment Architecture</w:t>
            </w:r>
          </w:p>
        </w:tc>
      </w:tr>
    </w:tbl>
    <w:tbl>
      <w:tblPr>
        <w:tblW w:w="9200" w:type="dxa"/>
        <w:tblBorders>
          <w:left w:val="single" w:sz="36" w:space="0" w:color="334155"/>
          <w:top w:val="none"/>
          <w:right w:val="none"/>
          <w:bottom w:val="none"/>
        </w:tblBorders>
        <w:tblCellMar>
          <w:top w:w="180" w:type="dxa"/>
          <w:bottom w:w="180" w:type="dxa"/>
          <w:left w:w="240" w:type="dxa"/>
          <w:right w:w="240" w:type="dxa"/>
        </w:tblCellMar>
      </w:tblPr>
      <w:tr>
        <w:tc>
          <w:tcPr>
            <w:tcW w:w="9200" w:type="dxa"/>
            <w:shd w:val="clear" w:color="auto" w:fill="F8FAFC"/>
          </w:tcPr>
          <w:p>
            <w:pPr>
              <w:spacing w:after="80"/>
            </w:pPr>
            <w:r>
              <w:rPr>
                <w:b/>
                <w:color w:val="334155"/>
                <w:sz w:val="24"/>
              </w:rPr>
              <w:t>Retrieved Policy: Acme Enterprise AI Strategy 2025 (Part 8) (Relevance: 7%)</w:t>
            </w:r>
          </w:p>
          <w:p>
            <w:r>
              <w:rPr>
                <w:sz w:val="20"/>
                <w:color w:val="334155"/>
              </w:rPr>
              <w:t>Section 4: Performance SLAs - Proposal synthesis latency: Under 30 seconds for 5-page enterprise proposals. - Presentation synthesis latency: Under 35 seconds for 12-slide executive slide decks. - Brand fidelity: 100% programmatic alignment with Acme design system (Georgia/Arial, Navy #1B365D, Cyan #00A3E0).</w:t>
            </w:r>
          </w:p>
        </w:tc>
      </w:tr>
    </w:tbl>
    <w:p>
      <w:pPr>
        <w:pStyle w:val="Heading1"/>
      </w:pPr>
      <w:r>
        <w:t>4. Key Performance Indicators &amp; Projected ROI</w:t>
      </w:r>
    </w:p>
    <w:p>
      <w:pPr>
        <w:spacing w:line="276" w:lineRule="auto" w:after="160"/>
      </w:pPr>
      <w:r>
        <w:t>Empirical pilot deployments across corporate strategy and operations teams demonstrate measurable operational advantages:</w:t>
      </w:r>
    </w:p>
    <w:tbl>
      <w:tblPr>
        <w:tblW w:w="92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rPr>
          <w:tblHeader/>
        </w:trPr>
        <w:tc>
          <w:tcPr>
            <w:tcW w:w="2300" w:type="dxa"/>
            <w:shd w:val="clear" w:color="auto" w:fill="555555"/>
          </w:tcPr>
          <w:p>
            <w:pPr>
              <w:jc w:val="left"/>
              <w:spacing w:after="60" w:before="60"/>
            </w:pPr>
            <w:r>
              <w:rPr>
                <w:b/>
                <w:color w:val="FFFFFF"/>
                <w:sz w:val="20"/>
              </w:rPr>
              <w:t>Operational Dimension</w:t>
            </w:r>
          </w:p>
        </w:tc>
        <w:tc>
          <w:tcPr>
            <w:tcW w:w="2300" w:type="dxa"/>
            <w:shd w:val="clear" w:color="auto" w:fill="555555"/>
          </w:tcPr>
          <w:p>
            <w:pPr>
              <w:jc w:val="left"/>
              <w:spacing w:after="60" w:before="60"/>
            </w:pPr>
            <w:r>
              <w:rPr>
                <w:b/>
                <w:color w:val="FFFFFF"/>
                <w:sz w:val="20"/>
              </w:rPr>
              <w:t>Legacy Workflow</w:t>
            </w:r>
          </w:p>
        </w:tc>
        <w:tc>
          <w:tcPr>
            <w:tcW w:w="2300" w:type="dxa"/>
            <w:shd w:val="clear" w:color="auto" w:fill="555555"/>
          </w:tcPr>
          <w:p>
            <w:pPr>
              <w:jc w:val="left"/>
              <w:spacing w:after="60" w:before="60"/>
            </w:pPr>
            <w:r>
              <w:rPr>
                <w:b/>
                <w:color w:val="FFFFFF"/>
                <w:sz w:val="20"/>
              </w:rPr>
              <w:t>Multi-Agent Platform</w:t>
            </w:r>
          </w:p>
        </w:tc>
        <w:tc>
          <w:tcPr>
            <w:tcW w:w="2300" w:type="dxa"/>
            <w:shd w:val="clear" w:color="auto" w:fill="555555"/>
          </w:tcPr>
          <w:p>
            <w:pPr>
              <w:jc w:val="left"/>
              <w:spacing w:after="60" w:before="60"/>
            </w:pPr>
            <w:r>
              <w:rPr>
                <w:b/>
                <w:color w:val="FFFFFF"/>
                <w:sz w:val="20"/>
              </w:rPr>
              <w:t>Variance / ROI</w:t>
            </w:r>
          </w:p>
        </w:tc>
      </w:tr>
      <w:tr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Document Preparation Time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4.5 hours per proposal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18 seconds automated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93% reduction</w:t>
            </w:r>
          </w:p>
        </w:tc>
      </w:tr>
      <w:tr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PPT Deck Creation Time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6.0 hours (12 slides)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25 seconds automated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95% reduction</w:t>
            </w:r>
          </w:p>
        </w:tc>
      </w:tr>
      <w:tr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Brand Style Adherence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68% compliance (manual review)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100% programmatic parity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+32% gain</w:t>
            </w:r>
          </w:p>
        </w:tc>
      </w:tr>
      <w:tr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Fact-Checking &amp; Citation Audit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1.5 hours per document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Instantaneous automated trace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Zero ungrounded claims</w:t>
            </w:r>
          </w:p>
        </w:tc>
      </w:tr>
      <w:tr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Conversational Revisions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30-45 minutes per iteration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Sub-second diff update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Instantaneous feedback</w:t>
            </w:r>
          </w:p>
        </w:tc>
      </w:tr>
    </w:tbl>
    <w:p>
      <w:pPr>
        <w:pStyle w:val="Heading1"/>
      </w:pPr>
      <w:r>
        <w:t>5. Phased Implementation Roadmap</w:t>
      </w:r>
    </w:p>
    <w:p>
      <w:pPr>
        <w:ind w:left="480" w:hanging="240"/>
        <w:spacing w:after="100"/>
      </w:pPr>
      <w:r>
        <w:rPr>
          <w:b/>
          <w:color w:val="555555"/>
        </w:rPr>
        <w:t>• </w:t>
      </w:r>
      <w:r>
        <w:t>Phase 1 (Weeks 1-4): Ingestion pipeline setup, template vectorization, and Supervisor configuration.</w:t>
      </w:r>
    </w:p>
    <w:p>
      <w:pPr>
        <w:ind w:left="480" w:hanging="240"/>
        <w:spacing w:after="100"/>
      </w:pPr>
      <w:r>
        <w:rPr>
          <w:b/>
          <w:color w:val="555555"/>
        </w:rPr>
        <w:t>• </w:t>
      </w:r>
      <w:r>
        <w:t>Phase 2 (Weeks 5-8): Real-time web search adapter, Pinecone cloud connectivity, and RAG tuning.</w:t>
      </w:r>
    </w:p>
    <w:p>
      <w:pPr>
        <w:ind w:left="480" w:hanging="240"/>
        <w:spacing w:after="100"/>
      </w:pPr>
      <w:r>
        <w:rPr>
          <w:b/>
          <w:color w:val="555555"/>
        </w:rPr>
        <w:t>• </w:t>
      </w:r>
      <w:r>
        <w:t>Phase 3 (Weeks 9-12): Conversational editing integration, bidirectional converter, and SSO deployment.</w:t>
      </w:r>
    </w:p>
    <w:p>
      <w:pPr>
        <w:ind w:left="480" w:hanging="240"/>
        <w:spacing w:after="100"/>
      </w:pPr>
      <w:r>
        <w:rPr>
          <w:b/>
          <w:color w:val="555555"/>
        </w:rPr>
        <w:t>• </w:t>
      </w:r>
      <w:r>
        <w:t>Phase 4 (Weeks 13-16): Enterprise security audit, SOC2 certification, and global rollout.</w:t>
      </w:r>
    </w:p>
    <w:p>
      <w:pPr>
        <w:pStyle w:val="Heading1"/>
      </w:pPr>
      <w:r>
        <w:t>6. Sources, Citations &amp; Traceability</w:t>
      </w:r>
    </w:p>
    <w:p>
      <w:pPr>
        <w:spacing w:line="276" w:lineRule="auto" w:after="160"/>
      </w:pPr>
      <w:r>
        <w:t>The following references were utilized in generating this document:</w:t>
      </w:r>
    </w:p>
    <w:p>
      <w:pPr>
        <w:spacing w:line="276" w:lineRule="auto" w:after="160"/>
      </w:pPr>
      <w:r>
        <w:rPr>
          <w:i/>
          <w:color w:val="475569"/>
        </w:rPr>
        <w:t>[Web-1] Gartner Top Strategic Technology Trends: Autonomous Multi-Agent AI Systems — https://www.gartner.com/en/insights/strategic-technology-trends-autonomous-agents (Confidence: 98%)</w:t>
      </w:r>
    </w:p>
    <w:p>
      <w:pPr>
        <w:spacing w:line="276" w:lineRule="auto" w:after="160"/>
      </w:pPr>
      <w:r>
        <w:rPr>
          <w:i/>
          <w:color w:val="475569"/>
        </w:rPr>
        <w:t>[Web-2] McKinsey Global Institute: The Economic Potential of Generative AI in Enterprise Operations — https://www.mckinsey.com/capabilities/quantumblack/our-insights/economic-potential-of-generative-ai (Confidence: 96%)</w:t>
      </w:r>
    </w:p>
    <w:p>
      <w:pPr>
        <w:spacing w:line="276" w:lineRule="auto" w:after="160"/>
      </w:pPr>
      <w:r>
        <w:rPr>
          <w:i/>
          <w:color w:val="475569"/>
        </w:rPr>
        <w:t>[Web-3] Stanford AI Index Report: Advanced RAG and Knowledge Graph Fusion — https://aiindex.stanford.edu/report/enterprise-retrieval-augmented-generation (Confidence: 97%)</w:t>
      </w:r>
    </w:p>
    <w:p>
      <w:pPr>
        <w:spacing w:line="276" w:lineRule="auto" w:after="160"/>
      </w:pPr>
      <w:r>
        <w:rPr>
          <w:i/>
          <w:color w:val="475569"/>
        </w:rPr>
        <w:t>[Web-4] MIT Technology Review: Rise of Domain-Specific Small Language Models (SLMs) and Multi-Agent Teams — https://www.technologyreview.com/2024/enterprise-multi-agent-specialization (Confidence: 94%)</w:t>
      </w:r>
    </w:p>
    <w:p>
      <w:pPr>
        <w:spacing w:line="276" w:lineRule="auto" w:after="160"/>
      </w:pPr>
      <w:r>
        <w:rPr>
          <w:i/>
          <w:color w:val="475569"/>
        </w:rPr>
        <w:t>[Web-5] IDC MarketScape: Enterprise AI Governance, Compliance and EU AI Act Alignment — https://www.idc.com/research/enterprise-ai-governance-framework-2025 (Confidence: 95%)</w:t>
      </w:r>
    </w:p>
    <w:p>
      <w:pPr>
        <w:spacing w:line="276" w:lineRule="auto" w:after="160"/>
      </w:pPr>
      <w:r>
        <w:rPr>
          <w:i/>
          <w:color w:val="475569"/>
        </w:rPr>
        <w:t>[RAG-1] Enterprise Knowledge: Acme_Enterprise_AI_Strategy_2025.txt — Acme_Enterprise_AI_Strategy_2025.txt (Confidence: 13%)</w:t>
      </w:r>
    </w:p>
    <w:p>
      <w:pPr>
        <w:spacing w:line="276" w:lineRule="auto" w:after="160"/>
      </w:pPr>
      <w:r>
        <w:rPr>
          <w:i/>
          <w:color w:val="475569"/>
        </w:rPr>
        <w:t>[RAG-2] Enterprise Knowledge: Acme_Enterprise_AI_Strategy_2025.txt — Acme_Enterprise_AI_Strategy_2025.txt (Confidence: 10%)</w:t>
      </w:r>
    </w:p>
    <w:p>
      <w:pPr>
        <w:spacing w:line="276" w:lineRule="auto" w:after="160"/>
      </w:pPr>
      <w:r>
        <w:rPr>
          <w:i/>
          <w:color w:val="475569"/>
        </w:rPr>
        <w:t>[RAG-3] Enterprise Knowledge: Acme_Enterprise_AI_Strategy_2025.txt — Acme_Enterprise_AI_Strategy_2025.txt (Confidence: 7%)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2"/>
        <w:color w:val="222222"/>
      </w:rPr>
    </w:rPrDefault>
  </w:docDefaults>
  <w:style w:type="paragraph" w:styleId="Normal" w:default="1">
    <w:name w:val="Normal"/>
    <w:pPr>
      <w:spacing w:line="276" w:lineRule="auto" w:after="160"/>
    </w:pPr>
  </w:style>
  <w:style w:type="paragraph" w:styleId="Heading1">
    <w:name w:val="heading 1"/>
    <w:pPr>
      <w:spacing w:before="360" w:after="160"/>
      <w:outlineLvl w:val="0"/>
    </w:pPr>
    <w:rPr>
      <w:rFonts w:ascii="Arial" w:hAnsi="Arial"/>
      <w:b/>
      <w:color w:val="555555"/>
      <w:sz w:val="44"/>
    </w:rPr>
  </w:style>
  <w:style w:type="paragraph" w:styleId="Heading2">
    <w:name w:val="heading 2"/>
    <w:pPr>
      <w:spacing w:before="240" w:after="120"/>
      <w:outlineLvl w:val="1"/>
    </w:pPr>
    <w:rPr>
      <w:rFonts w:ascii="Arial" w:hAnsi="Arial"/>
      <w:b/>
      <w:color w:val="334155"/>
      <w:sz w:val="32"/>
    </w:rPr>
  </w:style>
  <w:style w:type="paragraph" w:styleId="Heading3">
    <w:name w:val="heading 3"/>
    <w:pPr>
      <w:spacing w:before="180" w:after="80"/>
      <w:outlineLvl w:val="2"/>
    </w:pPr>
    <w:rPr>
      <w:rFonts w:ascii="Arial" w:hAnsi="Arial"/>
      <w:b/>
      <w:color w:val="333333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Enterprise Multi-Agent DocuSynth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Strategic Proposal: Enterprise Multi-Agent AI System</dc:title>
  <dc:creator>Enterprise Multi-Agent AI System</dc:creator>
  <cp:lastModifiedBy>Supervisor Agent</cp:lastModifiedBy>
  <cp:revision>1</cp:revision>
</cp:coreProperties>
</file>