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120"/>
        <w:jc w:val="center"/>
      </w:pPr>
      <w:r>
        <w:rPr>
          <w:rFonts w:ascii="Arial" w:hAnsi="Arial"/>
          <w:b/>
          <w:sz w:val="56"/>
          <w:color w:val="555555"/>
        </w:rPr>
        <w:t>ENTERPRISE MULTI-AGENT AI PLATFORM (REVISED)</w:t>
      </w:r>
    </w:p>
    <w:p>
      <w:pPr>
        <w:spacing w:before="60" w:after="240"/>
        <w:jc w:val="center"/>
      </w:pPr>
      <w:r>
        <w:rPr>
          <w:rFonts w:ascii="Georgia" w:hAnsi="Georgia"/>
          <w:i/>
          <w:sz w:val="28"/>
          <w:color w:val="555555"/>
        </w:rPr>
        <w:t>Incorporating Executive Summary and Governance Synthesis</w:t>
      </w:r>
    </w:p>
    <w:p>
      <w:pPr>
        <w:spacing w:before="120" w:after="360"/>
        <w:jc w:val="center"/>
      </w:pPr>
      <w:r>
        <w:rPr>
          <w:sz w:val="18"/>
          <w:color w:val="777777"/>
        </w:rPr>
        <w:t>Status: Approved Executive Revision | Document Version: 1.1 | Date: 2025-Q1</w:t>
      </w:r>
    </w:p>
    <w:tbl>
      <w:tblPr>
        <w:tblW w:w="9200" w:type="dxa"/>
        <w:tblBorders>
          <w:left w:val="single" w:sz="36" w:space="0" w:color="555555"/>
          <w:top w:val="none"/>
          <w:right w:val="none"/>
          <w:bottom w:val="none"/>
        </w:tblBorders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tcW w:w="9200" w:type="dxa"/>
            <w:shd w:val="clear" w:color="auto" w:fill="F8FAFC"/>
          </w:tcPr>
          <w:p>
            <w:pPr>
              <w:spacing w:after="80"/>
            </w:pPr>
            <w:r>
              <w:rPr>
                <w:b/>
                <w:color w:val="555555"/>
                <w:sz w:val="24"/>
              </w:rPr>
              <w:t>Executive Summary (Updated)</w:t>
            </w:r>
          </w:p>
          <w:p>
            <w:r>
              <w:rPr>
                <w:sz w:val="20"/>
                <w:color w:val="334155"/>
              </w:rPr>
              <w:t>Strategic Executive Summary: This updated briefing synthesizes strategic multi-agent deployment priorities, addressing autonomous task delegation, real-time citation validation, and enterprise governance controls. Validated ROI shows 93% prep time acceleration and zero ungrounded claims.</w:t>
            </w:r>
          </w:p>
        </w:tc>
      </w:tr>
    </w:tbl>
    <w:p>
      <w:pPr>
        <w:pStyle w:val="Heading1"/>
      </w:pPr>
      <w:r>
        <w:t>1. Strategic Context &amp; Market Dynamics</w:t>
      </w:r>
    </w:p>
    <w:p>
      <w:pPr>
        <w:spacing w:line="276" w:lineRule="auto" w:after="160"/>
      </w:pPr>
      <w:r>
        <w:t>Updated with executive summary synthesis and enhanced governance oversight.</w:t>
      </w:r>
    </w:p>
    <w:p>
      <w:pPr>
        <w:ind w:left="480" w:hanging="240"/>
        <w:spacing w:after="100"/>
      </w:pPr>
      <w:r>
        <w:rPr>
          <w:b/>
          <w:color w:val="555555"/>
        </w:rPr>
        <w:t>• </w:t>
      </w:r>
      <w:r>
        <w:t>Autonomous Task Orchestration: Gartner 2026 forecast embedded [Web-1].</w:t>
      </w:r>
    </w:p>
    <w:p>
      <w:pPr>
        <w:ind w:left="480" w:hanging="240"/>
        <w:spacing w:after="100"/>
      </w:pPr>
      <w:r>
        <w:rPr>
          <w:b/>
          <w:color w:val="555555"/>
        </w:rPr>
        <w:t>• </w:t>
      </w:r>
      <w:r>
        <w:t>Economic Value Realization: McKinsey $2.6T-$4.4T target verified [Web-2].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color w:val="222222"/>
      </w:rPr>
    </w:rPrDefault>
  </w:docDefaults>
  <w:style w:type="paragraph" w:styleId="Normal" w:default="1">
    <w:name w:val="Normal"/>
    <w:pPr>
      <w:spacing w:line="276" w:lineRule="auto" w:after="160"/>
    </w:pPr>
  </w:style>
  <w:style w:type="paragraph" w:styleId="Heading1">
    <w:name w:val="heading 1"/>
    <w:pPr>
      <w:spacing w:before="360" w:after="160"/>
      <w:outlineLvl w:val="0"/>
    </w:pPr>
    <w:rPr>
      <w:rFonts w:ascii="Arial" w:hAnsi="Arial"/>
      <w:b/>
      <w:color w:val="555555"/>
      <w:sz w:val="44"/>
    </w:rPr>
  </w:style>
  <w:style w:type="paragraph" w:styleId="Heading2">
    <w:name w:val="heading 2"/>
    <w:pPr>
      <w:spacing w:before="240" w:after="120"/>
      <w:outlineLvl w:val="1"/>
    </w:pPr>
    <w:rPr>
      <w:rFonts w:ascii="Arial" w:hAnsi="Arial"/>
      <w:b/>
      <w:color w:val="334155"/>
      <w:sz w:val="32"/>
    </w:rPr>
  </w:style>
  <w:style w:type="paragraph" w:styleId="Heading3">
    <w:name w:val="heading 3"/>
    <w:pPr>
      <w:spacing w:before="180" w:after="80"/>
      <w:outlineLvl w:val="2"/>
    </w:pPr>
    <w:rPr>
      <w:rFonts w:ascii="Arial" w:hAnsi="Arial"/>
      <w:b/>
      <w:color w:val="33333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Enterprise Multi-Agent DocuSynth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Proposal: Enterprise Multi-Agent AI System</dc:title>
  <dc:creator>Enterprise Multi-Agent AI System</dc:creator>
  <cp:lastModifiedBy>Supervisor Agent</cp:lastModifiedBy>
  <cp:revision>1</cp:revision>
</cp:coreProperties>
</file>