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120"/>
        <w:jc w:val="center"/>
      </w:pPr>
      <w:r>
        <w:rPr>
          <w:rFonts w:ascii="Arial" w:hAnsi="Arial"/>
          <w:b/>
          <w:sz w:val="56"/>
          <w:color w:val="555555"/>
        </w:rPr>
        <w:t>ENTERPRISE MULTI-AGENT AI PLATFORM</w:t>
      </w:r>
    </w:p>
    <w:p>
      <w:pPr>
        <w:spacing w:before="60" w:after="240"/>
        <w:jc w:val="center"/>
      </w:pPr>
      <w:r>
        <w:rPr>
          <w:rFonts w:ascii="Georgia" w:hAnsi="Georgia"/>
          <w:i/>
          <w:sz w:val="28"/>
          <w:color w:val="555555"/>
        </w:rPr>
        <w:t>Incorporating In-Depth Competitive &amp; Vendor Analysis</w:t>
      </w:r>
    </w:p>
    <w:p>
      <w:pPr>
        <w:spacing w:before="120" w:after="360"/>
        <w:jc w:val="center"/>
      </w:pPr>
      <w:r>
        <w:rPr>
          <w:sz w:val="18"/>
          <w:color w:val="777777"/>
        </w:rPr>
        <w:t>Version: 1.2 | Review Status: Competitive Evaluation</w:t>
      </w:r>
    </w:p>
    <w:p>
      <w:pPr>
        <w:pStyle w:val="Heading1"/>
      </w:pPr>
      <w:r>
        <w:t>Comprehensive Competitive Landscape Analysis</w:t>
      </w:r>
    </w:p>
    <w:p>
      <w:pPr>
        <w:spacing w:line="276" w:lineRule="auto" w:after="160"/>
      </w:pPr>
      <w:r>
        <w:t>A granular comparison of the platform against alternative market solutions illustrates decisive technical moats:</w:t>
      </w:r>
    </w:p>
    <w:tbl>
      <w:tblPr>
        <w:tblW w:w="92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20" w:type="dxa"/>
          <w:bottom w:w="120" w:type="dxa"/>
          <w:left w:w="160" w:type="dxa"/>
          <w:right w:w="160" w:type="dxa"/>
        </w:tblCellMar>
      </w:tblPr>
      <w:tr>
        <w:trPr>
          <w:tblHeader/>
        </w:trPr>
        <w:tc>
          <w:tcPr>
            <w:tcW w:w="2300" w:type="dxa"/>
            <w:shd w:val="clear" w:color="auto" w:fill="555555"/>
          </w:tcPr>
          <w:p>
            <w:pPr>
              <w:jc w:val="left"/>
              <w:spacing w:after="60" w:before="60"/>
            </w:pPr>
            <w:r>
              <w:rPr>
                <w:b/>
                <w:color w:val="FFFFFF"/>
                <w:sz w:val="20"/>
              </w:rPr>
              <w:t>Market Dimension</w:t>
            </w:r>
          </w:p>
        </w:tc>
        <w:tc>
          <w:tcPr>
            <w:tcW w:w="2300" w:type="dxa"/>
            <w:shd w:val="clear" w:color="auto" w:fill="555555"/>
          </w:tcPr>
          <w:p>
            <w:pPr>
              <w:jc w:val="left"/>
              <w:spacing w:after="60" w:before="60"/>
            </w:pPr>
            <w:r>
              <w:rPr>
                <w:b/>
                <w:color w:val="FFFFFF"/>
                <w:sz w:val="20"/>
              </w:rPr>
              <w:t>Consumer AI Assistants</w:t>
            </w:r>
          </w:p>
        </w:tc>
        <w:tc>
          <w:tcPr>
            <w:tcW w:w="2300" w:type="dxa"/>
            <w:shd w:val="clear" w:color="auto" w:fill="555555"/>
          </w:tcPr>
          <w:p>
            <w:pPr>
              <w:jc w:val="left"/>
              <w:spacing w:after="60" w:before="60"/>
            </w:pPr>
            <w:r>
              <w:rPr>
                <w:b/>
                <w:color w:val="FFFFFF"/>
                <w:sz w:val="20"/>
              </w:rPr>
              <w:t>Legacy Document Add-ins</w:t>
            </w:r>
          </w:p>
        </w:tc>
        <w:tc>
          <w:tcPr>
            <w:tcW w:w="2300" w:type="dxa"/>
            <w:shd w:val="clear" w:color="auto" w:fill="555555"/>
          </w:tcPr>
          <w:p>
            <w:pPr>
              <w:jc w:val="left"/>
              <w:spacing w:after="60" w:before="60"/>
            </w:pPr>
            <w:r>
              <w:rPr>
                <w:b/>
                <w:color w:val="FFFFFF"/>
                <w:sz w:val="20"/>
              </w:rPr>
              <w:t>Our Enterprise Multi-Agent System</w:t>
            </w:r>
          </w:p>
        </w:tc>
      </w:tr>
      <w:tr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Multi-Agent Supervisor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Single-turn only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Rigid rule macros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Autonomous graph supervisor</w:t>
            </w:r>
          </w:p>
        </w:tc>
      </w:tr>
      <w:tr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Template Parity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Markdown text dump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Partial CSS approximations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100% ECMA-376 OpenXML fidelity</w:t>
            </w:r>
          </w:p>
        </w:tc>
      </w:tr>
      <w:tr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Vector RAG Integration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Unconnected / public only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Basic keyword search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Pinecone / SQLite dense embeddings</w:t>
            </w:r>
          </w:p>
        </w:tc>
      </w:tr>
      <w:tr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Real-Time Web Sourcing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Often untraced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No search capability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Live citation tags with source URLs</w:t>
            </w:r>
          </w:p>
        </w:tc>
      </w:tr>
      <w:tr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Conversational Revisions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Destructive regeneration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Manual retyping</w:t>
            </w:r>
          </w:p>
        </w:tc>
        <w:tc>
          <w:tcPr>
            <w:tcW w:w="2300" w:type="dxa"/>
            <w:shd w:val="clear" w:color="auto" w:fill="FFFFFF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In-place diff-preserving updates</w:t>
            </w:r>
          </w:p>
        </w:tc>
      </w:tr>
      <w:tr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Deployment Security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Public cloud multitenant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Desktop local install</w:t>
            </w:r>
          </w:p>
        </w:tc>
        <w:tc>
          <w:tcPr>
            <w:tcW w:w="2300" w:type="dxa"/>
            <w:shd w:val="clear" w:color="auto" w:fill="F8FAFC"/>
          </w:tcPr>
          <w:p>
            <w:pPr>
              <w:spacing w:after="60" w:before="60"/>
            </w:pPr>
            <w:r>
              <w:rPr>
                <w:sz w:val="19"/>
                <w:color w:val="222222"/>
              </w:rPr>
              <w:t>Private VPC, zero-trust RBAC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2"/>
        <w:color w:val="222222"/>
      </w:rPr>
    </w:rPrDefault>
  </w:docDefaults>
  <w:style w:type="paragraph" w:styleId="Normal" w:default="1">
    <w:name w:val="Normal"/>
    <w:pPr>
      <w:spacing w:line="276" w:lineRule="auto" w:after="160"/>
    </w:pPr>
  </w:style>
  <w:style w:type="paragraph" w:styleId="Heading1">
    <w:name w:val="heading 1"/>
    <w:pPr>
      <w:spacing w:before="360" w:after="160"/>
      <w:outlineLvl w:val="0"/>
    </w:pPr>
    <w:rPr>
      <w:rFonts w:ascii="Arial" w:hAnsi="Arial"/>
      <w:b/>
      <w:color w:val="555555"/>
      <w:sz w:val="44"/>
    </w:rPr>
  </w:style>
  <w:style w:type="paragraph" w:styleId="Heading2">
    <w:name w:val="heading 2"/>
    <w:pPr>
      <w:spacing w:before="240" w:after="120"/>
      <w:outlineLvl w:val="1"/>
    </w:pPr>
    <w:rPr>
      <w:rFonts w:ascii="Arial" w:hAnsi="Arial"/>
      <w:b/>
      <w:color w:val="334155"/>
      <w:sz w:val="32"/>
    </w:rPr>
  </w:style>
  <w:style w:type="paragraph" w:styleId="Heading3">
    <w:name w:val="heading 3"/>
    <w:pPr>
      <w:spacing w:before="180" w:after="80"/>
      <w:outlineLvl w:val="2"/>
    </w:pPr>
    <w:rPr>
      <w:rFonts w:ascii="Arial" w:hAnsi="Arial"/>
      <w:b/>
      <w:color w:val="333333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Enterprise Multi-Agent DocuSynth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Strategic Proposal: Enterprise Multi-Agent AI System</dc:title>
  <dc:creator>Enterprise Multi-Agent AI System</dc:creator>
  <cp:lastModifiedBy>Supervisor Agent</cp:lastModifiedBy>
  <cp:revision>1</cp:revision>
</cp:coreProperties>
</file>