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Lab 5 – Static Code Analysis</w:t>
        <w:br/>
        <w:t>Issue Table</w:t>
      </w:r>
    </w:p>
    <w:p>
      <w:pPr>
        <w:jc w:val="center"/>
      </w:pPr>
      <w:r>
        <w:rPr>
          <w:sz w:val="20"/>
        </w:rPr>
        <w:t>Repository: SETAPESU26/L5_17_society_dues</w:t>
      </w:r>
    </w:p>
    <w:tbl>
      <w:tblPr>
        <w:tblStyle w:val="TableGrid"/>
        <w:tblW w:type="auto" w:w="0"/>
        <w:jc w:val="center"/>
        <w:tblLook w:firstColumn="1" w:firstRow="1" w:lastColumn="0" w:lastRow="0" w:noHBand="0" w:noVBand="1" w:val="04A0"/>
      </w:tblPr>
      <w:tblGrid>
        <w:gridCol w:w="1752"/>
        <w:gridCol w:w="1752"/>
        <w:gridCol w:w="1752"/>
        <w:gridCol w:w="1752"/>
        <w:gridCol w:w="1752"/>
        <w:gridCol w:w="1752"/>
      </w:tblGrid>
      <w:tr>
        <w:trPr>
          <w:tblHeader w:val="true"/>
        </w:trPr>
        <w:tc>
          <w:tcPr>
            <w:tcW w:type="dxa" w:w="1944"/>
            <w:vAlign w:val="center"/>
          </w:tcPr>
          <w:p>
            <w:r>
              <w:rPr>
                <w:b/>
                <w:sz w:val="17"/>
              </w:rPr>
              <w:t>Issue</w:t>
            </w:r>
          </w:p>
        </w:tc>
        <w:tc>
          <w:tcPr>
            <w:tcW w:type="dxa" w:w="1224"/>
            <w:vAlign w:val="center"/>
          </w:tcPr>
          <w:p>
            <w:r>
              <w:rPr>
                <w:b/>
                <w:sz w:val="17"/>
              </w:rPr>
              <w:t>Tool</w:t>
            </w:r>
          </w:p>
        </w:tc>
        <w:tc>
          <w:tcPr>
            <w:tcW w:type="dxa" w:w="1656"/>
            <w:vAlign w:val="center"/>
          </w:tcPr>
          <w:p>
            <w:r>
              <w:rPr>
                <w:b/>
                <w:sz w:val="17"/>
              </w:rPr>
              <w:t>Type / Severity</w:t>
            </w:r>
          </w:p>
        </w:tc>
        <w:tc>
          <w:tcPr>
            <w:tcW w:type="dxa" w:w="792"/>
            <w:vAlign w:val="center"/>
          </w:tcPr>
          <w:p>
            <w:r>
              <w:rPr>
                <w:b/>
                <w:sz w:val="17"/>
              </w:rPr>
              <w:t>Line(s)</w:t>
            </w:r>
          </w:p>
        </w:tc>
        <w:tc>
          <w:tcPr>
            <w:tcW w:type="dxa" w:w="3240"/>
            <w:vAlign w:val="center"/>
          </w:tcPr>
          <w:p>
            <w:r>
              <w:rPr>
                <w:b/>
                <w:sz w:val="17"/>
              </w:rPr>
              <w:t>Description</w:t>
            </w:r>
          </w:p>
        </w:tc>
        <w:tc>
          <w:tcPr>
            <w:tcW w:type="dxa" w:w="3528"/>
            <w:vAlign w:val="center"/>
          </w:tcPr>
          <w:p>
            <w:r>
              <w:rPr>
                <w:b/>
                <w:sz w:val="17"/>
              </w:rPr>
              <w:t>Fix / Action Taken</w:t>
            </w:r>
          </w:p>
        </w:tc>
      </w:tr>
      <w:tr>
        <w:tc>
          <w:tcPr>
            <w:tcW w:type="dxa" w:w="1944"/>
            <w:vAlign w:val="top"/>
          </w:tcPr>
          <w:p>
            <w:r>
              <w:rPr>
                <w:sz w:val="16"/>
              </w:rPr>
              <w:t>Mutable default argument</w:t>
            </w:r>
          </w:p>
        </w:tc>
        <w:tc>
          <w:tcPr>
            <w:tcW w:type="dxa" w:w="1224"/>
            <w:vAlign w:val="top"/>
          </w:tcPr>
          <w:p>
            <w:r>
              <w:rPr>
                <w:sz w:val="16"/>
              </w:rPr>
              <w:t>Pylint</w:t>
            </w:r>
          </w:p>
        </w:tc>
        <w:tc>
          <w:tcPr>
            <w:tcW w:type="dxa" w:w="1656"/>
            <w:vAlign w:val="top"/>
          </w:tcPr>
          <w:p>
            <w:r>
              <w:rPr>
                <w:sz w:val="16"/>
              </w:rPr>
              <w:t>Code Quality / Bug Risk</w:t>
            </w:r>
          </w:p>
        </w:tc>
        <w:tc>
          <w:tcPr>
            <w:tcW w:type="dxa" w:w="792"/>
            <w:vAlign w:val="top"/>
          </w:tcPr>
          <w:p>
            <w:r>
              <w:rPr>
                <w:sz w:val="16"/>
              </w:rPr>
              <w:t>8</w:t>
            </w:r>
          </w:p>
        </w:tc>
        <w:tc>
          <w:tcPr>
            <w:tcW w:type="dxa" w:w="3240"/>
            <w:vAlign w:val="top"/>
          </w:tcPr>
          <w:p>
            <w:r>
              <w:rPr>
                <w:sz w:val="16"/>
              </w:rPr>
              <w:t>`history=[]` can retain state between function calls.</w:t>
            </w:r>
          </w:p>
        </w:tc>
        <w:tc>
          <w:tcPr>
            <w:tcW w:type="dxa" w:w="3528"/>
            <w:vAlign w:val="top"/>
          </w:tcPr>
          <w:p>
            <w:r>
              <w:rPr>
                <w:sz w:val="16"/>
              </w:rPr>
              <w:t>Changed the default to `None` and initialized the list inside the function.</w:t>
            </w:r>
          </w:p>
        </w:tc>
      </w:tr>
      <w:tr>
        <w:tc>
          <w:tcPr>
            <w:tcW w:type="dxa" w:w="1944"/>
            <w:vAlign w:val="top"/>
          </w:tcPr>
          <w:p>
            <w:r>
              <w:rPr>
                <w:sz w:val="16"/>
              </w:rPr>
              <w:t>Invalid function naming</w:t>
            </w:r>
          </w:p>
        </w:tc>
        <w:tc>
          <w:tcPr>
            <w:tcW w:type="dxa" w:w="1224"/>
            <w:vAlign w:val="top"/>
          </w:tcPr>
          <w:p>
            <w:r>
              <w:rPr>
                <w:sz w:val="16"/>
              </w:rPr>
              <w:t>Pylint</w:t>
            </w:r>
          </w:p>
        </w:tc>
        <w:tc>
          <w:tcPr>
            <w:tcW w:type="dxa" w:w="1656"/>
            <w:vAlign w:val="top"/>
          </w:tcPr>
          <w:p>
            <w:r>
              <w:rPr>
                <w:sz w:val="16"/>
              </w:rPr>
              <w:t>Style</w:t>
            </w:r>
          </w:p>
        </w:tc>
        <w:tc>
          <w:tcPr>
            <w:tcW w:type="dxa" w:w="792"/>
            <w:vAlign w:val="top"/>
          </w:tcPr>
          <w:p>
            <w:r>
              <w:rPr>
                <w:sz w:val="16"/>
              </w:rPr>
              <w:t>8</w:t>
            </w:r>
          </w:p>
        </w:tc>
        <w:tc>
          <w:tcPr>
            <w:tcW w:type="dxa" w:w="3240"/>
            <w:vAlign w:val="top"/>
          </w:tcPr>
          <w:p>
            <w:r>
              <w:rPr>
                <w:sz w:val="16"/>
              </w:rPr>
              <w:t>`addDue` did not follow the recommended snake_case naming convention.</w:t>
            </w:r>
          </w:p>
        </w:tc>
        <w:tc>
          <w:tcPr>
            <w:tcW w:type="dxa" w:w="3528"/>
            <w:vAlign w:val="top"/>
          </w:tcPr>
          <w:p>
            <w:r>
              <w:rPr>
                <w:sz w:val="16"/>
              </w:rPr>
              <w:t>Renamed the function to `add_due`.</w:t>
            </w:r>
          </w:p>
        </w:tc>
      </w:tr>
      <w:tr>
        <w:tc>
          <w:tcPr>
            <w:tcW w:type="dxa" w:w="1944"/>
            <w:vAlign w:val="top"/>
          </w:tcPr>
          <w:p>
            <w:r>
              <w:rPr>
                <w:sz w:val="16"/>
              </w:rPr>
              <w:t>Unsafe SQL construction</w:t>
            </w:r>
          </w:p>
        </w:tc>
        <w:tc>
          <w:tcPr>
            <w:tcW w:type="dxa" w:w="1224"/>
            <w:vAlign w:val="top"/>
          </w:tcPr>
          <w:p>
            <w:r>
              <w:rPr>
                <w:sz w:val="16"/>
              </w:rPr>
              <w:t>Bandit</w:t>
            </w:r>
          </w:p>
        </w:tc>
        <w:tc>
          <w:tcPr>
            <w:tcW w:type="dxa" w:w="1656"/>
            <w:vAlign w:val="top"/>
          </w:tcPr>
          <w:p>
            <w:r>
              <w:rPr>
                <w:sz w:val="16"/>
              </w:rPr>
              <w:t>Security</w:t>
            </w:r>
          </w:p>
        </w:tc>
        <w:tc>
          <w:tcPr>
            <w:tcW w:type="dxa" w:w="792"/>
            <w:vAlign w:val="top"/>
          </w:tcPr>
          <w:p>
            <w:r>
              <w:rPr>
                <w:sz w:val="16"/>
              </w:rPr>
              <w:t>9</w:t>
            </w:r>
          </w:p>
        </w:tc>
        <w:tc>
          <w:tcPr>
            <w:tcW w:type="dxa" w:w="3240"/>
            <w:vAlign w:val="top"/>
          </w:tcPr>
          <w:p>
            <w:r>
              <w:rPr>
                <w:sz w:val="16"/>
              </w:rPr>
              <w:t>SQL was constructed using string interpolation, which can allow SQL injection.</w:t>
            </w:r>
          </w:p>
        </w:tc>
        <w:tc>
          <w:tcPr>
            <w:tcW w:type="dxa" w:w="3528"/>
            <w:vAlign w:val="top"/>
          </w:tcPr>
          <w:p>
            <w:r>
              <w:rPr>
                <w:sz w:val="16"/>
              </w:rPr>
              <w:t>Replaced string interpolation with parameterized SQL queries using `?` placeholders.</w:t>
            </w:r>
          </w:p>
        </w:tc>
      </w:tr>
      <w:tr>
        <w:tc>
          <w:tcPr>
            <w:tcW w:type="dxa" w:w="1944"/>
            <w:vAlign w:val="top"/>
          </w:tcPr>
          <w:p>
            <w:r>
              <w:rPr>
                <w:sz w:val="16"/>
              </w:rPr>
              <w:t>Use of eval()</w:t>
            </w:r>
          </w:p>
        </w:tc>
        <w:tc>
          <w:tcPr>
            <w:tcW w:type="dxa" w:w="1224"/>
            <w:vAlign w:val="top"/>
          </w:tcPr>
          <w:p>
            <w:r>
              <w:rPr>
                <w:sz w:val="16"/>
              </w:rPr>
              <w:t>Bandit / Pylint</w:t>
            </w:r>
          </w:p>
        </w:tc>
        <w:tc>
          <w:tcPr>
            <w:tcW w:type="dxa" w:w="1656"/>
            <w:vAlign w:val="top"/>
          </w:tcPr>
          <w:p>
            <w:r>
              <w:rPr>
                <w:sz w:val="16"/>
              </w:rPr>
              <w:t>Security</w:t>
            </w:r>
          </w:p>
        </w:tc>
        <w:tc>
          <w:tcPr>
            <w:tcW w:type="dxa" w:w="792"/>
            <w:vAlign w:val="top"/>
          </w:tcPr>
          <w:p>
            <w:r>
              <w:rPr>
                <w:sz w:val="16"/>
              </w:rPr>
              <w:t>20</w:t>
            </w:r>
          </w:p>
        </w:tc>
        <w:tc>
          <w:tcPr>
            <w:tcW w:type="dxa" w:w="3240"/>
            <w:vAlign w:val="top"/>
          </w:tcPr>
          <w:p>
            <w:r>
              <w:rPr>
                <w:sz w:val="16"/>
              </w:rPr>
              <w:t>`eval()` can execute unintended or unsafe Python expressions.</w:t>
            </w:r>
          </w:p>
        </w:tc>
        <w:tc>
          <w:tcPr>
            <w:tcW w:type="dxa" w:w="3528"/>
            <w:vAlign w:val="top"/>
          </w:tcPr>
          <w:p>
            <w:r>
              <w:rPr>
                <w:sz w:val="16"/>
              </w:rPr>
              <w:t>Replaced `eval()` with restricted AST-based arithmetic evaluation.</w:t>
            </w:r>
          </w:p>
        </w:tc>
      </w:tr>
      <w:tr>
        <w:tc>
          <w:tcPr>
            <w:tcW w:type="dxa" w:w="1944"/>
            <w:vAlign w:val="top"/>
          </w:tcPr>
          <w:p>
            <w:r>
              <w:rPr>
                <w:sz w:val="16"/>
              </w:rPr>
              <w:t>Broad exception handling</w:t>
            </w:r>
          </w:p>
        </w:tc>
        <w:tc>
          <w:tcPr>
            <w:tcW w:type="dxa" w:w="1224"/>
            <w:vAlign w:val="top"/>
          </w:tcPr>
          <w:p>
            <w:r>
              <w:rPr>
                <w:sz w:val="16"/>
              </w:rPr>
              <w:t>Pylint</w:t>
            </w:r>
          </w:p>
        </w:tc>
        <w:tc>
          <w:tcPr>
            <w:tcW w:type="dxa" w:w="1656"/>
            <w:vAlign w:val="top"/>
          </w:tcPr>
          <w:p>
            <w:r>
              <w:rPr>
                <w:sz w:val="16"/>
              </w:rPr>
              <w:t>Code Quality</w:t>
            </w:r>
          </w:p>
        </w:tc>
        <w:tc>
          <w:tcPr>
            <w:tcW w:type="dxa" w:w="792"/>
            <w:vAlign w:val="top"/>
          </w:tcPr>
          <w:p>
            <w:r>
              <w:rPr>
                <w:sz w:val="16"/>
              </w:rPr>
              <w:t>22</w:t>
            </w:r>
          </w:p>
        </w:tc>
        <w:tc>
          <w:tcPr>
            <w:tcW w:type="dxa" w:w="3240"/>
            <w:vAlign w:val="top"/>
          </w:tcPr>
          <w:p>
            <w:r>
              <w:rPr>
                <w:sz w:val="16"/>
              </w:rPr>
              <w:t>A generic `Exception` was caught instead of specific expected exceptions.</w:t>
            </w:r>
          </w:p>
        </w:tc>
        <w:tc>
          <w:tcPr>
            <w:tcW w:type="dxa" w:w="3528"/>
            <w:vAlign w:val="top"/>
          </w:tcPr>
          <w:p>
            <w:r>
              <w:rPr>
                <w:sz w:val="16"/>
              </w:rPr>
              <w:t>Changed the handler to catch specific exceptions such as `SyntaxError`, `ValueError`, `TypeError`, and `ZeroDivisionError`.</w:t>
            </w:r>
          </w:p>
        </w:tc>
      </w:tr>
      <w:tr>
        <w:tc>
          <w:tcPr>
            <w:tcW w:type="dxa" w:w="1944"/>
            <w:vAlign w:val="top"/>
          </w:tcPr>
          <w:p>
            <w:r>
              <w:rPr>
                <w:sz w:val="16"/>
              </w:rPr>
              <w:t>Incorrect None comparison</w:t>
            </w:r>
          </w:p>
        </w:tc>
        <w:tc>
          <w:tcPr>
            <w:tcW w:type="dxa" w:w="1224"/>
            <w:vAlign w:val="top"/>
          </w:tcPr>
          <w:p>
            <w:r>
              <w:rPr>
                <w:sz w:val="16"/>
              </w:rPr>
              <w:t>Pylint</w:t>
            </w:r>
          </w:p>
        </w:tc>
        <w:tc>
          <w:tcPr>
            <w:tcW w:type="dxa" w:w="1656"/>
            <w:vAlign w:val="top"/>
          </w:tcPr>
          <w:p>
            <w:r>
              <w:rPr>
                <w:sz w:val="16"/>
              </w:rPr>
              <w:t>Style</w:t>
            </w:r>
          </w:p>
        </w:tc>
        <w:tc>
          <w:tcPr>
            <w:tcW w:type="dxa" w:w="792"/>
            <w:vAlign w:val="top"/>
          </w:tcPr>
          <w:p>
            <w:r>
              <w:rPr>
                <w:sz w:val="16"/>
              </w:rPr>
              <w:t>29</w:t>
            </w:r>
          </w:p>
        </w:tc>
        <w:tc>
          <w:tcPr>
            <w:tcW w:type="dxa" w:w="3240"/>
            <w:vAlign w:val="top"/>
          </w:tcPr>
          <w:p>
            <w:r>
              <w:rPr>
                <w:sz w:val="16"/>
              </w:rPr>
              <w:t>The code compared the result using `!= None`.</w:t>
            </w:r>
          </w:p>
        </w:tc>
        <w:tc>
          <w:tcPr>
            <w:tcW w:type="dxa" w:w="3528"/>
            <w:vAlign w:val="top"/>
          </w:tcPr>
          <w:p>
            <w:r>
              <w:rPr>
                <w:sz w:val="16"/>
              </w:rPr>
              <w:t>Changed the comparison to `is not None`.</w:t>
            </w:r>
          </w:p>
        </w:tc>
      </w:tr>
      <w:tr>
        <w:tc>
          <w:tcPr>
            <w:tcW w:type="dxa" w:w="1944"/>
            <w:vAlign w:val="top"/>
          </w:tcPr>
          <w:p>
            <w:r>
              <w:rPr>
                <w:sz w:val="16"/>
              </w:rPr>
              <w:t>Missing module/function docstrings</w:t>
            </w:r>
          </w:p>
        </w:tc>
        <w:tc>
          <w:tcPr>
            <w:tcW w:type="dxa" w:w="1224"/>
            <w:vAlign w:val="top"/>
          </w:tcPr>
          <w:p>
            <w:r>
              <w:rPr>
                <w:sz w:val="16"/>
              </w:rPr>
              <w:t>Pylint</w:t>
            </w:r>
          </w:p>
        </w:tc>
        <w:tc>
          <w:tcPr>
            <w:tcW w:type="dxa" w:w="1656"/>
            <w:vAlign w:val="top"/>
          </w:tcPr>
          <w:p>
            <w:r>
              <w:rPr>
                <w:sz w:val="16"/>
              </w:rPr>
              <w:t>Code Quality</w:t>
            </w:r>
          </w:p>
        </w:tc>
        <w:tc>
          <w:tcPr>
            <w:tcW w:type="dxa" w:w="792"/>
            <w:vAlign w:val="top"/>
          </w:tcPr>
          <w:p>
            <w:r>
              <w:rPr>
                <w:sz w:val="16"/>
              </w:rPr>
              <w:t>Multiple</w:t>
            </w:r>
          </w:p>
        </w:tc>
        <w:tc>
          <w:tcPr>
            <w:tcW w:type="dxa" w:w="3240"/>
            <w:vAlign w:val="top"/>
          </w:tcPr>
          <w:p>
            <w:r>
              <w:rPr>
                <w:sz w:val="16"/>
              </w:rPr>
              <w:t>The module and functions did not contain descriptive documentation.</w:t>
            </w:r>
          </w:p>
        </w:tc>
        <w:tc>
          <w:tcPr>
            <w:tcW w:type="dxa" w:w="3528"/>
            <w:vAlign w:val="top"/>
          </w:tcPr>
          <w:p>
            <w:r>
              <w:rPr>
                <w:sz w:val="16"/>
              </w:rPr>
              <w:t>Added module and function docstrings.</w:t>
            </w:r>
          </w:p>
        </w:tc>
      </w:tr>
      <w:tr>
        <w:tc>
          <w:tcPr>
            <w:tcW w:type="dxa" w:w="1944"/>
            <w:vAlign w:val="top"/>
          </w:tcPr>
          <w:p>
            <w:r>
              <w:rPr>
                <w:sz w:val="16"/>
              </w:rPr>
              <w:t>Line too long</w:t>
            </w:r>
          </w:p>
        </w:tc>
        <w:tc>
          <w:tcPr>
            <w:tcW w:type="dxa" w:w="1224"/>
            <w:vAlign w:val="top"/>
          </w:tcPr>
          <w:p>
            <w:r>
              <w:rPr>
                <w:sz w:val="16"/>
              </w:rPr>
              <w:t>Pylint / Flake8</w:t>
            </w:r>
          </w:p>
        </w:tc>
        <w:tc>
          <w:tcPr>
            <w:tcW w:type="dxa" w:w="1656"/>
            <w:vAlign w:val="top"/>
          </w:tcPr>
          <w:p>
            <w:r>
              <w:rPr>
                <w:sz w:val="16"/>
              </w:rPr>
              <w:t>Style</w:t>
            </w:r>
          </w:p>
        </w:tc>
        <w:tc>
          <w:tcPr>
            <w:tcW w:type="dxa" w:w="792"/>
            <w:vAlign w:val="top"/>
          </w:tcPr>
          <w:p>
            <w:r>
              <w:rPr>
                <w:sz w:val="16"/>
              </w:rPr>
              <w:t>Multiple</w:t>
            </w:r>
          </w:p>
        </w:tc>
        <w:tc>
          <w:tcPr>
            <w:tcW w:type="dxa" w:w="3240"/>
            <w:vAlign w:val="top"/>
          </w:tcPr>
          <w:p>
            <w:r>
              <w:rPr>
                <w:sz w:val="16"/>
              </w:rPr>
              <w:t>Some lines exceeded the configured maximum line length.</w:t>
            </w:r>
          </w:p>
        </w:tc>
        <w:tc>
          <w:tcPr>
            <w:tcW w:type="dxa" w:w="3528"/>
            <w:vAlign w:val="top"/>
          </w:tcPr>
          <w:p>
            <w:r>
              <w:rPr>
                <w:sz w:val="16"/>
              </w:rPr>
              <w:t>Split long statements across multiple lines.</w:t>
            </w:r>
          </w:p>
        </w:tc>
      </w:tr>
      <w:tr>
        <w:tc>
          <w:tcPr>
            <w:tcW w:type="dxa" w:w="1944"/>
            <w:vAlign w:val="top"/>
          </w:tcPr>
          <w:p>
            <w:r>
              <w:rPr>
                <w:sz w:val="16"/>
              </w:rPr>
              <w:t>Trailing whitespace</w:t>
            </w:r>
          </w:p>
        </w:tc>
        <w:tc>
          <w:tcPr>
            <w:tcW w:type="dxa" w:w="1224"/>
            <w:vAlign w:val="top"/>
          </w:tcPr>
          <w:p>
            <w:r>
              <w:rPr>
                <w:sz w:val="16"/>
              </w:rPr>
              <w:t>Flake8</w:t>
            </w:r>
          </w:p>
        </w:tc>
        <w:tc>
          <w:tcPr>
            <w:tcW w:type="dxa" w:w="1656"/>
            <w:vAlign w:val="top"/>
          </w:tcPr>
          <w:p>
            <w:r>
              <w:rPr>
                <w:sz w:val="16"/>
              </w:rPr>
              <w:t>Style</w:t>
            </w:r>
          </w:p>
        </w:tc>
        <w:tc>
          <w:tcPr>
            <w:tcW w:type="dxa" w:w="792"/>
            <w:vAlign w:val="top"/>
          </w:tcPr>
          <w:p>
            <w:r>
              <w:rPr>
                <w:sz w:val="16"/>
              </w:rPr>
              <w:t>103</w:t>
            </w:r>
          </w:p>
        </w:tc>
        <w:tc>
          <w:tcPr>
            <w:tcW w:type="dxa" w:w="3240"/>
            <w:vAlign w:val="top"/>
          </w:tcPr>
          <w:p>
            <w:r>
              <w:rPr>
                <w:sz w:val="16"/>
              </w:rPr>
              <w:t>Whitespace was present at the end of a line.</w:t>
            </w:r>
          </w:p>
        </w:tc>
        <w:tc>
          <w:tcPr>
            <w:tcW w:type="dxa" w:w="3528"/>
            <w:vAlign w:val="top"/>
          </w:tcPr>
          <w:p>
            <w:r>
              <w:rPr>
                <w:sz w:val="16"/>
              </w:rPr>
              <w:t>Removed trailing whitespace.</w:t>
            </w:r>
          </w:p>
        </w:tc>
      </w:tr>
      <w:tr>
        <w:tc>
          <w:tcPr>
            <w:tcW w:type="dxa" w:w="1944"/>
            <w:vAlign w:val="top"/>
          </w:tcPr>
          <w:p>
            <w:r>
              <w:rPr>
                <w:sz w:val="16"/>
              </w:rPr>
              <w:t>Missing newline at end of file</w:t>
            </w:r>
          </w:p>
        </w:tc>
        <w:tc>
          <w:tcPr>
            <w:tcW w:type="dxa" w:w="1224"/>
            <w:vAlign w:val="top"/>
          </w:tcPr>
          <w:p>
            <w:r>
              <w:rPr>
                <w:sz w:val="16"/>
              </w:rPr>
              <w:t>Flake8</w:t>
            </w:r>
          </w:p>
        </w:tc>
        <w:tc>
          <w:tcPr>
            <w:tcW w:type="dxa" w:w="1656"/>
            <w:vAlign w:val="top"/>
          </w:tcPr>
          <w:p>
            <w:r>
              <w:rPr>
                <w:sz w:val="16"/>
              </w:rPr>
              <w:t>Style</w:t>
            </w:r>
          </w:p>
        </w:tc>
        <w:tc>
          <w:tcPr>
            <w:tcW w:type="dxa" w:w="792"/>
            <w:vAlign w:val="top"/>
          </w:tcPr>
          <w:p>
            <w:r>
              <w:rPr>
                <w:sz w:val="16"/>
              </w:rPr>
              <w:t>End of file</w:t>
            </w:r>
          </w:p>
        </w:tc>
        <w:tc>
          <w:tcPr>
            <w:tcW w:type="dxa" w:w="3240"/>
            <w:vAlign w:val="top"/>
          </w:tcPr>
          <w:p>
            <w:r>
              <w:rPr>
                <w:sz w:val="16"/>
              </w:rPr>
              <w:t>The file did not end with a newline.</w:t>
            </w:r>
          </w:p>
        </w:tc>
        <w:tc>
          <w:tcPr>
            <w:tcW w:type="dxa" w:w="3528"/>
            <w:vAlign w:val="top"/>
          </w:tcPr>
          <w:p>
            <w:r>
              <w:rPr>
                <w:sz w:val="16"/>
              </w:rPr>
              <w:t>Added a newline at the end of the file.</w:t>
            </w:r>
          </w:p>
        </w:tc>
      </w:tr>
    </w:tbl>
    <w:p/>
    <w:p>
      <w:r>
        <w:rPr>
          <w:b/>
          <w:sz w:val="24"/>
        </w:rPr>
        <w:t>Summary</w:t>
      </w:r>
    </w:p>
    <w:p>
      <w:r>
        <w:rPr>
          <w:sz w:val="20"/>
        </w:rPr>
        <w:t>The static analysis identified issues related to security, code quality, maintainability, naming conventions, and formatting. The identified issues were addressed and the Pylint, Bandit, and Flake8 checks were run again to verify the fixes.</w:t>
      </w:r>
    </w:p>
    <w:sectPr w:rsidR="00FC693F" w:rsidRPr="0006063C" w:rsidSect="00034616">
      <w:footerReference w:type="default" r:id="rId9"/>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Lab 5 – Static Code Analysis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