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 Change Management Authorization — Release v2.4</w:t>
      </w:r>
    </w:p>
    <w:p>
      <w:r>
        <w:t>Control Code: C002 | Application: Payments Application</w:t>
      </w:r>
    </w:p>
    <w:p>
      <w:pPr>
        <w:pStyle w:val="Heading1"/>
      </w:pPr>
      <w:r>
        <w:t>Change Request Ticket with Peer Review</w:t>
      </w:r>
    </w:p>
    <w:p>
      <w:r>
        <w:t>PR #1084 reviewed and approved by 2 Senior Software Engineers.</w:t>
      </w:r>
    </w:p>
    <w:p>
      <w:pPr>
        <w:pStyle w:val="Heading1"/>
      </w:pPr>
      <w:r>
        <w:t>Automated Test Results Summary</w:t>
      </w:r>
    </w:p>
    <w:p>
      <w:r>
        <w:t>Jenkins CI run #412 passed 100% of unit and integration tests (342/342).</w:t>
      </w:r>
    </w:p>
    <w:p>
      <w:pPr>
        <w:pStyle w:val="Heading1"/>
      </w:pPr>
      <w:r>
        <w:t>Production Release Authorization Sign-off</w:t>
      </w:r>
    </w:p>
    <w:p>
      <w:r>
        <w:t>Approved by CAB Lead and Director of Engineering for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