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SAMPADA AI</w:t>
      </w:r>
    </w:p>
    <w:p>
      <w:pPr>
        <w:jc w:val="center"/>
      </w:pPr>
      <w:r>
        <w:rPr>
          <w:b/>
          <w:sz w:val="40"/>
        </w:rPr>
        <w:t>MASTER GUIDE — 800-PAGE SAMPADA AI DOCUMENTATION</w:t>
      </w:r>
    </w:p>
    <w:p>
      <w:pPr>
        <w:jc w:val="center"/>
      </w:pPr>
      <w:r>
        <w:rPr>
          <w:sz w:val="24"/>
        </w:rPr>
        <w:t>PART ALL FOUR PARTS • Detailed Software Requirements, Architecture &amp; Implementation Documentation</w:t>
      </w:r>
    </w:p>
    <w:p/>
    <w:p>
      <w:pPr>
        <w:jc w:val="center"/>
      </w:pPr>
      <w:r>
        <w:rPr>
          <w:sz w:val="22"/>
        </w:rPr>
        <w:t>Prepared in the same chapter/subsection-driven style as the supplied reference documentation. Designed for direct handoff to student development teams and AI coding agents such as Freebuff or Claude.</w:t>
      </w:r>
    </w:p>
    <w:p>
      <w:r>
        <w:br w:type="page"/>
      </w:r>
    </w:p>
    <w:p>
      <w:pPr>
        <w:pStyle w:val="Heading1"/>
      </w:pPr>
      <w:r>
        <w:t>How This Documentation Is Structured</w:t>
      </w:r>
    </w:p>
    <w:p>
      <w:r>
        <w:t>This package intentionally follows the structure of the supplied sample documentation: chapter numbering, numbered subsections, long-form explanatory prose, functional requirements, UI/UX specifications, architecture, database/API requirements, testing, security, performance, accessibility, analytics, implementation deliverables, acceptance criteria, future enhancements, and chapter summaries.</w:t>
      </w:r>
    </w:p>
    <w:p>
      <w:pPr>
        <w:pStyle w:val="Heading1"/>
      </w:pPr>
      <w:r>
        <w:t>Four-Part Ownership Model</w:t>
      </w:r>
    </w:p>
    <w:p>
      <w:pPr>
        <w:pStyle w:val="ListBullet"/>
      </w:pPr>
      <w:r>
        <w:t>Part 1: Farmer Application &amp; User Experience — the farmer-facing product and all interaction workflows.</w:t>
      </w:r>
    </w:p>
    <w:p>
      <w:pPr>
        <w:pStyle w:val="ListBullet"/>
      </w:pPr>
      <w:r>
        <w:t>Part 2: Agricultural Data &amp; Intelligence — trusted data acquisition, validation, agricultural knowledge, and data APIs.</w:t>
      </w:r>
    </w:p>
    <w:p>
      <w:pPr>
        <w:pStyle w:val="ListBullet"/>
      </w:pPr>
      <w:r>
        <w:t>Part 3: AI Decision &amp; Recommendation Engine — forecasting, crop recommendations, market decisions, logistics, risk, and explainability.</w:t>
      </w:r>
    </w:p>
    <w:p>
      <w:pPr>
        <w:pStyle w:val="ListBullet"/>
      </w:pPr>
      <w:r>
        <w:t>Part 4: Learning, Evaluation, Platform &amp; Operations — outcome learning, MLOps, monitoring, security, deployment, governance, and field validation.</w:t>
      </w:r>
    </w:p>
    <w:p>
      <w:pPr>
        <w:pStyle w:val="Heading1"/>
      </w:pPr>
      <w:r>
        <w:t>Using Freebuff or Claude</w:t>
      </w:r>
    </w:p>
    <w:p>
      <w:r>
        <w:t>Each teammate should give the coding agent the relevant chapter plus the shared system architecture and current repository context. The agent should not be asked to invent the architecture independently. Before generating code, require it to inspect existing files, identify dependencies, list the files it will modify, implement one vertical slice, run tests, and report assumptions. Human review remains mandatory.</w:t>
      </w:r>
    </w:p>
    <w:p>
      <w:pPr>
        <w:pStyle w:val="Heading1"/>
      </w:pPr>
      <w:r>
        <w:t>Reference Documentation</w:t>
      </w:r>
    </w:p>
    <w:p>
      <w:r>
        <w:t>The supplied sample is the structural reference for this package. It uses an SRS-style business-to-technical progression and detailed chapter/subsection numbering.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