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Light" w:hAnsi="Calibri Light"/>
          <w:b/>
          <w:color w:val="1B365D"/>
          <w:sz w:val="72"/>
        </w:rPr>
        <w:t>EnterprisePSA</w:t>
      </w:r>
    </w:p>
    <w:p>
      <w:pPr>
        <w:spacing w:after="560"/>
        <w:jc w:val="center"/>
      </w:pPr>
      <w:r>
        <w:rPr>
          <w:color w:val="335C67"/>
          <w:sz w:val="32"/>
        </w:rPr>
        <w:t>Complete Technical, Functional &amp; Architectural Documentation</w:t>
      </w:r>
    </w:p>
    <w:p>
      <w:pPr>
        <w:spacing w:after="2800"/>
        <w:jc w:val="center"/>
      </w:pPr>
      <w:r>
        <w:rPr>
          <w:i/>
          <w:color w:val="646464"/>
          <w:sz w:val="22"/>
        </w:rPr>
        <w:t>Comprehensive Reference Architecture, OData V4 Service Engine, Database Schema, SAPUI5 &amp; Fiori Elements UI Applications, Business Lifecycles, and Production Hardening Guide</w:t>
      </w:r>
    </w:p>
    <w:tbl>
      <w:tblPr>
        <w:tblW w:type="auto" w:w="0"/>
        <w:jc w:val="center"/>
        <w:tblLook w:firstColumn="1" w:firstRow="1" w:lastColumn="0" w:lastRow="0" w:noHBand="0" w:noVBand="1" w:val="04A0"/>
      </w:tblPr>
      <w:tblGrid>
        <w:gridCol w:w="4680"/>
        <w:gridCol w:w="4680"/>
      </w:tblGrid>
      <w:tr>
        <w:trPr>
          <w:cantSplit/>
          <w:tblHeader/>
        </w:trPr>
        <w:tc>
          <w:tcPr>
            <w:tcW w:type="dxa" w:w="4680"/>
            <w:shd w:fill="1B365D"/>
            <w:tcMar>
              <w:top w:w="120" w:type="dxa"/>
              <w:bottom w:w="120" w:type="dxa"/>
              <w:left w:w="140" w:type="dxa"/>
              <w:right w:w="140" w:type="dxa"/>
            </w:tcMar>
          </w:tcPr>
          <w:p>
            <w:pPr>
              <w:jc w:val="center"/>
            </w:pPr>
            <w:r>
              <w:rPr>
                <w:rFonts w:ascii="Calibri" w:hAnsi="Calibri"/>
                <w:b/>
                <w:color w:val="FFFFFF"/>
                <w:sz w:val="20"/>
              </w:rPr>
              <w:t>Platform Runtime</w:t>
            </w:r>
          </w:p>
        </w:tc>
        <w:tc>
          <w:tcPr>
            <w:tcW w:type="dxa" w:w="4680"/>
            <w:shd w:fill="1B365D"/>
            <w:tcMar>
              <w:top w:w="120" w:type="dxa"/>
              <w:bottom w:w="120" w:type="dxa"/>
              <w:left w:w="140" w:type="dxa"/>
              <w:right w:w="140" w:type="dxa"/>
            </w:tcMar>
          </w:tcPr>
          <w:p>
            <w:pPr>
              <w:jc w:val="center"/>
            </w:pPr>
            <w:r>
              <w:rPr>
                <w:rFonts w:ascii="Calibri" w:hAnsi="Calibri"/>
                <w:b/>
                <w:color w:val="FFFFFF"/>
                <w:sz w:val="20"/>
              </w:rPr>
              <w:t>SAP Cloud Application Programming Model (CAP) Node.js</w:t>
            </w:r>
          </w:p>
        </w:tc>
      </w:tr>
      <w:tr>
        <w:trPr>
          <w:cantSplit/>
        </w:trPr>
        <w:tc>
          <w:tcPr>
            <w:tcW w:type="dxa" w:w="4680"/>
            <w:shd w:fill="FFFFFF"/>
            <w:tcMar>
              <w:top w:w="80" w:type="dxa"/>
              <w:bottom w:w="80" w:type="dxa"/>
              <w:left w:w="120" w:type="dxa"/>
              <w:right w:w="120" w:type="dxa"/>
            </w:tcMar>
          </w:tcPr>
          <w:p>
            <w:r>
              <w:rPr>
                <w:rFonts w:ascii="Calibri" w:hAnsi="Calibri"/>
                <w:b/>
                <w:color w:val="282828"/>
                <w:sz w:val="19"/>
              </w:rPr>
              <w:t>Database Engine</w:t>
            </w:r>
          </w:p>
        </w:tc>
        <w:tc>
          <w:tcPr>
            <w:tcW w:type="dxa" w:w="4680"/>
            <w:shd w:fill="FFFFFF"/>
            <w:tcMar>
              <w:top w:w="80" w:type="dxa"/>
              <w:bottom w:w="80" w:type="dxa"/>
              <w:left w:w="120" w:type="dxa"/>
              <w:right w:w="120" w:type="dxa"/>
            </w:tcMar>
          </w:tcPr>
          <w:p>
            <w:r>
              <w:rPr>
                <w:rFonts w:ascii="Calibri" w:hAnsi="Calibri"/>
                <w:color w:val="282828"/>
                <w:sz w:val="19"/>
              </w:rPr>
              <w:t>SAP HANA Cloud (HDI Container) via @cap-js/hana</w:t>
            </w:r>
          </w:p>
        </w:tc>
      </w:tr>
      <w:tr>
        <w:trPr>
          <w:cantSplit/>
        </w:trPr>
        <w:tc>
          <w:tcPr>
            <w:tcW w:type="dxa" w:w="4680"/>
            <w:shd w:fill="F9FBFC"/>
            <w:tcMar>
              <w:top w:w="80" w:type="dxa"/>
              <w:bottom w:w="80" w:type="dxa"/>
              <w:left w:w="120" w:type="dxa"/>
              <w:right w:w="120" w:type="dxa"/>
            </w:tcMar>
          </w:tcPr>
          <w:p>
            <w:r>
              <w:rPr>
                <w:rFonts w:ascii="Calibri" w:hAnsi="Calibri"/>
                <w:b/>
                <w:color w:val="282828"/>
                <w:sz w:val="19"/>
              </w:rPr>
              <w:t>Frontend Framework</w:t>
            </w:r>
          </w:p>
        </w:tc>
        <w:tc>
          <w:tcPr>
            <w:tcW w:type="dxa" w:w="4680"/>
            <w:shd w:fill="F9FBFC"/>
            <w:tcMar>
              <w:top w:w="80" w:type="dxa"/>
              <w:bottom w:w="80" w:type="dxa"/>
              <w:left w:w="120" w:type="dxa"/>
              <w:right w:w="120" w:type="dxa"/>
            </w:tcMar>
          </w:tcPr>
          <w:p>
            <w:r>
              <w:rPr>
                <w:rFonts w:ascii="Calibri" w:hAnsi="Calibri"/>
                <w:color w:val="282828"/>
                <w:sz w:val="19"/>
              </w:rPr>
              <w:t>SAPUI5 (Freestyle) &amp; SAP Fiori Elements (V4)</w:t>
            </w:r>
          </w:p>
        </w:tc>
      </w:tr>
      <w:tr>
        <w:trPr>
          <w:cantSplit/>
        </w:trPr>
        <w:tc>
          <w:tcPr>
            <w:tcW w:type="dxa" w:w="4680"/>
            <w:shd w:fill="FFFFFF"/>
            <w:tcMar>
              <w:top w:w="80" w:type="dxa"/>
              <w:bottom w:w="80" w:type="dxa"/>
              <w:left w:w="120" w:type="dxa"/>
              <w:right w:w="120" w:type="dxa"/>
            </w:tcMar>
          </w:tcPr>
          <w:p>
            <w:r>
              <w:rPr>
                <w:rFonts w:ascii="Calibri" w:hAnsi="Calibri"/>
                <w:b/>
                <w:color w:val="282828"/>
                <w:sz w:val="19"/>
              </w:rPr>
              <w:t>Communication Protocol</w:t>
            </w:r>
          </w:p>
        </w:tc>
        <w:tc>
          <w:tcPr>
            <w:tcW w:type="dxa" w:w="4680"/>
            <w:shd w:fill="FFFFFF"/>
            <w:tcMar>
              <w:top w:w="80" w:type="dxa"/>
              <w:bottom w:w="80" w:type="dxa"/>
              <w:left w:w="120" w:type="dxa"/>
              <w:right w:w="120" w:type="dxa"/>
            </w:tcMar>
          </w:tcPr>
          <w:p>
            <w:r>
              <w:rPr>
                <w:rFonts w:ascii="Calibri" w:hAnsi="Calibri"/>
                <w:color w:val="282828"/>
                <w:sz w:val="19"/>
              </w:rPr>
              <w:t>OData V4 (/odata/v4/catalog)</w:t>
            </w:r>
          </w:p>
        </w:tc>
      </w:tr>
      <w:tr>
        <w:trPr>
          <w:cantSplit/>
        </w:trPr>
        <w:tc>
          <w:tcPr>
            <w:tcW w:type="dxa" w:w="4680"/>
            <w:shd w:fill="F9FBFC"/>
            <w:tcMar>
              <w:top w:w="80" w:type="dxa"/>
              <w:bottom w:w="80" w:type="dxa"/>
              <w:left w:w="120" w:type="dxa"/>
              <w:right w:w="120" w:type="dxa"/>
            </w:tcMar>
          </w:tcPr>
          <w:p>
            <w:r>
              <w:rPr>
                <w:rFonts w:ascii="Calibri" w:hAnsi="Calibri"/>
                <w:b/>
                <w:color w:val="282828"/>
                <w:sz w:val="19"/>
              </w:rPr>
              <w:t>Document Version</w:t>
            </w:r>
          </w:p>
        </w:tc>
        <w:tc>
          <w:tcPr>
            <w:tcW w:type="dxa" w:w="4680"/>
            <w:shd w:fill="F9FBFC"/>
            <w:tcMar>
              <w:top w:w="80" w:type="dxa"/>
              <w:bottom w:w="80" w:type="dxa"/>
              <w:left w:w="120" w:type="dxa"/>
              <w:right w:w="120" w:type="dxa"/>
            </w:tcMar>
          </w:tcPr>
          <w:p>
            <w:r>
              <w:rPr>
                <w:rFonts w:ascii="Calibri" w:hAnsi="Calibri"/>
                <w:color w:val="282828"/>
                <w:sz w:val="19"/>
              </w:rPr>
              <w:t>1.0.0 (Production Architecture Edition)</w:t>
            </w:r>
          </w:p>
        </w:tc>
      </w:tr>
      <w:tr>
        <w:trPr>
          <w:cantSplit/>
        </w:trPr>
        <w:tc>
          <w:tcPr>
            <w:tcW w:type="dxa" w:w="4680"/>
            <w:shd w:fill="FFFFFF"/>
            <w:tcMar>
              <w:top w:w="80" w:type="dxa"/>
              <w:bottom w:w="80" w:type="dxa"/>
              <w:left w:w="120" w:type="dxa"/>
              <w:right w:w="120" w:type="dxa"/>
            </w:tcMar>
          </w:tcPr>
          <w:p>
            <w:r>
              <w:rPr>
                <w:rFonts w:ascii="Calibri" w:hAnsi="Calibri"/>
                <w:b/>
                <w:color w:val="282828"/>
                <w:sz w:val="19"/>
              </w:rPr>
              <w:t>Release Date</w:t>
            </w:r>
          </w:p>
        </w:tc>
        <w:tc>
          <w:tcPr>
            <w:tcW w:type="dxa" w:w="4680"/>
            <w:shd w:fill="FFFFFF"/>
            <w:tcMar>
              <w:top w:w="80" w:type="dxa"/>
              <w:bottom w:w="80" w:type="dxa"/>
              <w:left w:w="120" w:type="dxa"/>
              <w:right w:w="120" w:type="dxa"/>
            </w:tcMar>
          </w:tcPr>
          <w:p>
            <w:r>
              <w:rPr>
                <w:rFonts w:ascii="Calibri" w:hAnsi="Calibri"/>
                <w:color w:val="282828"/>
                <w:sz w:val="19"/>
              </w:rPr>
              <w:t>October 2026</w:t>
            </w:r>
          </w:p>
        </w:tc>
      </w:tr>
    </w:tbl>
    <w:p>
      <w:r>
        <w:br w:type="page"/>
      </w:r>
    </w:p>
    <w:p>
      <w:pPr>
        <w:pStyle w:val="Heading1"/>
        <w:keepNext/>
        <w:spacing w:before="320" w:after="120"/>
      </w:pPr>
      <w:r>
        <w:rPr>
          <w:rFonts w:ascii="Calibri Light" w:hAnsi="Calibri Light"/>
          <w:b/>
          <w:color w:val="1B365D"/>
          <w:sz w:val="36"/>
        </w:rPr>
        <w:t>Table of Contents</w:t>
      </w:r>
    </w:p>
    <w:p/>
    <w:p>
      <w:pPr>
        <w:spacing w:after="40"/>
      </w:pPr>
      <w:r>
        <w:rPr>
          <w:color w:val="1B365D"/>
          <w:sz w:val="20"/>
        </w:rPr>
        <w:t>1. Executive Summary &amp; Business Purpose</w:t>
      </w:r>
    </w:p>
    <w:p>
      <w:pPr>
        <w:spacing w:after="40"/>
      </w:pPr>
      <w:r>
        <w:rPr>
          <w:color w:val="1B365D"/>
          <w:sz w:val="20"/>
        </w:rPr>
        <w:t>2. SAP Technology Stack &amp; Version Matrix</w:t>
      </w:r>
    </w:p>
    <w:p>
      <w:pPr>
        <w:spacing w:after="40"/>
      </w:pPr>
      <w:r>
        <w:rPr>
          <w:color w:val="1B365D"/>
          <w:sz w:val="20"/>
        </w:rPr>
        <w:t>3. Complete Project Directory Structure &amp; Artifact Inventory</w:t>
      </w:r>
    </w:p>
    <w:p>
      <w:pPr>
        <w:spacing w:after="40"/>
      </w:pPr>
      <w:r>
        <w:rPr>
          <w:color w:val="1B365D"/>
          <w:sz w:val="20"/>
        </w:rPr>
        <w:t>4. Frontend Application Architecture (Freestyle vs Elements)</w:t>
      </w:r>
    </w:p>
    <w:p>
      <w:pPr>
        <w:spacing w:after="40"/>
      </w:pPr>
      <w:r>
        <w:rPr>
          <w:color w:val="1B365D"/>
          <w:sz w:val="20"/>
        </w:rPr>
        <w:t>5. Application-by-Application Deep Dive</w:t>
      </w:r>
    </w:p>
    <w:p>
      <w:pPr>
        <w:spacing w:after="40"/>
      </w:pPr>
      <w:r>
        <w:rPr>
          <w:color w:val="1B365D"/>
          <w:sz w:val="20"/>
        </w:rPr>
        <w:t>6. UI Selection Fields, Value Helps &amp; OData Annotations</w:t>
      </w:r>
    </w:p>
    <w:p>
      <w:pPr>
        <w:spacing w:after="40"/>
      </w:pPr>
      <w:r>
        <w:rPr>
          <w:color w:val="1B365D"/>
          <w:sz w:val="20"/>
        </w:rPr>
        <w:t>7. Database Architecture &amp; Complete Schema Reference (11 Entities)</w:t>
      </w:r>
    </w:p>
    <w:p>
      <w:pPr>
        <w:spacing w:after="40"/>
      </w:pPr>
      <w:r>
        <w:rPr>
          <w:color w:val="1B365D"/>
          <w:sz w:val="20"/>
        </w:rPr>
        <w:t>8. OData V4 Service Architecture &amp; CatalogService Definition</w:t>
      </w:r>
    </w:p>
    <w:p>
      <w:pPr>
        <w:spacing w:after="40"/>
      </w:pPr>
      <w:r>
        <w:rPr>
          <w:color w:val="1B365D"/>
          <w:sz w:val="20"/>
        </w:rPr>
        <w:t>9. Complete Function &amp; Action Reference (Bound &amp; Unbound)</w:t>
      </w:r>
    </w:p>
    <w:p>
      <w:pPr>
        <w:spacing w:after="40"/>
      </w:pPr>
      <w:r>
        <w:rPr>
          <w:color w:val="1B365D"/>
          <w:sz w:val="20"/>
        </w:rPr>
        <w:t>10. End-to-End Business Workflows &amp; Traceability</w:t>
      </w:r>
    </w:p>
    <w:p>
      <w:pPr>
        <w:spacing w:after="40"/>
      </w:pPr>
      <w:r>
        <w:rPr>
          <w:color w:val="1B365D"/>
          <w:sz w:val="20"/>
        </w:rPr>
        <w:t>11. Lifecycle State Machine Reference</w:t>
      </w:r>
    </w:p>
    <w:p>
      <w:pPr>
        <w:spacing w:after="40"/>
      </w:pPr>
      <w:r>
        <w:rPr>
          <w:color w:val="1B365D"/>
          <w:sz w:val="20"/>
        </w:rPr>
        <w:t>12. External Dependencies &amp; Libraries</w:t>
      </w:r>
    </w:p>
    <w:p>
      <w:pPr>
        <w:spacing w:after="40"/>
      </w:pPr>
      <w:r>
        <w:rPr>
          <w:color w:val="1B365D"/>
          <w:sz w:val="20"/>
        </w:rPr>
        <w:t>13. Security Architecture &amp; Production Hardening Roadmap</w:t>
      </w:r>
    </w:p>
    <w:p>
      <w:pPr>
        <w:spacing w:after="40"/>
      </w:pPr>
      <w:r>
        <w:rPr>
          <w:color w:val="1B365D"/>
          <w:sz w:val="20"/>
        </w:rPr>
        <w:t>14. Deployment Architecture &amp; Cloud Foundry / MTA Configuration</w:t>
      </w:r>
    </w:p>
    <w:p>
      <w:pPr>
        <w:spacing w:after="40"/>
      </w:pPr>
      <w:r>
        <w:rPr>
          <w:color w:val="1B365D"/>
          <w:sz w:val="20"/>
        </w:rPr>
        <w:t>15. End-to-End Data Flow: From User Click to HANA Column Store</w:t>
      </w:r>
    </w:p>
    <w:p>
      <w:pPr>
        <w:spacing w:after="40"/>
      </w:pPr>
      <w:r>
        <w:rPr>
          <w:color w:val="1B365D"/>
          <w:sz w:val="20"/>
        </w:rPr>
        <w:t>16. Error Handling &amp; Validation Patterns</w:t>
      </w:r>
    </w:p>
    <w:p>
      <w:pPr>
        <w:spacing w:after="40"/>
      </w:pPr>
      <w:r>
        <w:rPr>
          <w:color w:val="1B365D"/>
          <w:sz w:val="20"/>
        </w:rPr>
        <w:t>17. KPI &amp; Analytics Engine Deep Dive</w:t>
      </w:r>
    </w:p>
    <w:p>
      <w:pPr>
        <w:spacing w:after="40"/>
      </w:pPr>
      <w:r>
        <w:rPr>
          <w:color w:val="1B365D"/>
          <w:sz w:val="20"/>
        </w:rPr>
        <w:t>18. Key Implementation Highlights &amp; Code Reference</w:t>
      </w:r>
    </w:p>
    <w:p>
      <w:pPr>
        <w:spacing w:after="40"/>
      </w:pPr>
      <w:r>
        <w:rPr>
          <w:color w:val="1B365D"/>
          <w:sz w:val="20"/>
        </w:rPr>
        <w:t>19. Technical Debt, Known Gaps &amp; Future Roadmap</w:t>
      </w:r>
    </w:p>
    <w:p>
      <w:pPr>
        <w:spacing w:after="40"/>
      </w:pPr>
      <w:r>
        <w:rPr>
          <w:color w:val="1B365D"/>
          <w:sz w:val="20"/>
        </w:rPr>
        <w:t>20. Comprehensive Technical Glossary</w:t>
      </w:r>
    </w:p>
    <w:p>
      <w:pPr>
        <w:spacing w:after="40"/>
      </w:pPr>
      <w:r>
        <w:rPr>
          <w:color w:val="1B365D"/>
          <w:sz w:val="20"/>
        </w:rPr>
        <w:t>21. Technical Interview &amp; Project Defense Preparation (Top 25 Q&amp;A)</w:t>
      </w:r>
    </w:p>
    <w:p>
      <w:r>
        <w:br w:type="page"/>
      </w:r>
    </w:p>
    <w:p>
      <w:pPr>
        <w:pStyle w:val="Heading1"/>
        <w:keepNext/>
        <w:spacing w:before="320" w:after="120"/>
      </w:pPr>
      <w:r>
        <w:rPr>
          <w:rFonts w:ascii="Calibri Light" w:hAnsi="Calibri Light"/>
          <w:b/>
          <w:color w:val="1B365D"/>
          <w:sz w:val="36"/>
        </w:rPr>
        <w:t>1. Executive Summary &amp; Business Purpose</w:t>
      </w:r>
    </w:p>
    <w:p>
      <w:r>
        <w:t>EnterprisePSA is an enterprise-grade Professional Services Automation (PSA) platform designed to orchestrate the entire operational lifecycle of consulting and IT professional service organizations. Built on the SAP Cloud Application Programming Model (CAP) and SAP HANA Cloud, the platform bridges the divide between project delivery, employee resource management, milestone execution, timesheet governance, billing calculation, and accounts receivable tracking.</w:t>
      </w:r>
    </w:p>
    <w:p>
      <w:r>
        <w:t>Modern professional services firms face significant challenges regarding billing leakage, disconnected timesheet approval cycles, lack of real-time project burn transparency, and delayed cash collection. EnterprisePSA eliminates these friction points by introducing a single unified source of truth across four key operational dimensions:</w:t>
      </w:r>
    </w:p>
    <w:p>
      <w:pPr>
        <w:pStyle w:val="ListBullet"/>
        <w:spacing w:after="60"/>
      </w:pPr>
      <w:r>
        <w:rPr>
          <w:b/>
          <w:color w:val="335C67"/>
        </w:rPr>
        <w:t xml:space="preserve">Project Governance &amp; Scoping: </w:t>
      </w:r>
      <w:r>
        <w:t>Structuring commercial client engagements into measurable milestones, work packages, and tasks with granular billing flags.</w:t>
      </w:r>
    </w:p>
    <w:p>
      <w:pPr>
        <w:pStyle w:val="ListBullet"/>
        <w:spacing w:after="60"/>
      </w:pPr>
      <w:r>
        <w:rPr>
          <w:b/>
          <w:color w:val="335C67"/>
        </w:rPr>
        <w:t xml:space="preserve">Resource Management &amp; Staffing: </w:t>
      </w:r>
      <w:r>
        <w:t>Mapping specialized employee profiles to organizational departments and active project tasks while capturing role-based hourly cost and billing rates.</w:t>
      </w:r>
    </w:p>
    <w:p>
      <w:pPr>
        <w:pStyle w:val="ListBullet"/>
        <w:spacing w:after="60"/>
      </w:pPr>
      <w:r>
        <w:rPr>
          <w:b/>
          <w:color w:val="335C67"/>
        </w:rPr>
        <w:t xml:space="preserve">Time &amp; Effort Capture: </w:t>
      </w:r>
      <w:r>
        <w:t>Providing employees with intuitive weekly timesheets and daily effort logs, backed by strict manager approval workflows with audit trails.</w:t>
      </w:r>
    </w:p>
    <w:p>
      <w:pPr>
        <w:pStyle w:val="ListBullet"/>
        <w:spacing w:after="60"/>
      </w:pPr>
      <w:r>
        <w:rPr>
          <w:b/>
          <w:color w:val="335C67"/>
        </w:rPr>
        <w:t xml:space="preserve">Financial Realization &amp; Invoicing: </w:t>
      </w:r>
      <w:r>
        <w:t>Automating draft invoice generation directly from approved billable timesheet hours, computing statutory VAT/GST surcharges, and tracking invoice lifecycle states through settlement.</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60" w:type="dxa"/>
              <w:right w:w="160" w:type="dxa"/>
            </w:tcMar>
            <w:tcBorders>
              <w:left w:val="single" w:sz="24" w:space="0" w:color="1B365D"/>
              <w:top w:val="none"/>
              <w:right w:val="none"/>
              <w:bottom w:val="none"/>
            </w:tcBorders>
          </w:tcPr>
          <w:p>
            <w:r>
              <w:rPr>
                <w:b/>
                <w:color w:val="1B365D"/>
              </w:rPr>
              <w:t xml:space="preserve">[GOVERNANCE PRINCIPLE] </w:t>
            </w:r>
            <w:r>
              <w:rPr>
                <w:color w:val="282828"/>
              </w:rPr>
              <w:t>The architecture is grounded entirely in the actual repository artifacts. No simulated or speculative features are documented; every entity, action, endpoint, and UI control discussed is actively implemented in the codebase.</w:t>
            </w:r>
          </w:p>
        </w:tc>
      </w:tr>
    </w:tbl>
    <w:p/>
    <w:p>
      <w:pPr>
        <w:pStyle w:val="Heading1"/>
        <w:keepNext/>
        <w:spacing w:before="320" w:after="120"/>
      </w:pPr>
      <w:r>
        <w:rPr>
          <w:rFonts w:ascii="Calibri Light" w:hAnsi="Calibri Light"/>
          <w:b/>
          <w:color w:val="1B365D"/>
          <w:sz w:val="36"/>
        </w:rPr>
        <w:t>2. SAP Technology Stack &amp; Version Matrix</w:t>
      </w:r>
    </w:p>
    <w:p>
      <w:r>
        <w:t>The system leverages modern cloud-native SAP technologies, decoupling backend persistence from presentation layers via standardized OData V4 protocols.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B365D"/>
            <w:tcMar>
              <w:top w:w="120" w:type="dxa"/>
              <w:bottom w:w="120" w:type="dxa"/>
              <w:left w:w="140" w:type="dxa"/>
              <w:right w:w="140" w:type="dxa"/>
            </w:tcMar>
          </w:tcPr>
          <w:p>
            <w:pPr>
              <w:jc w:val="center"/>
            </w:pPr>
            <w:r>
              <w:rPr>
                <w:rFonts w:ascii="Calibri" w:hAnsi="Calibri"/>
                <w:b/>
                <w:color w:val="FFFFFF"/>
                <w:sz w:val="20"/>
              </w:rPr>
              <w:t>Layer / Component</w:t>
            </w:r>
          </w:p>
        </w:tc>
        <w:tc>
          <w:tcPr>
            <w:tcW w:type="dxa" w:w="3120"/>
            <w:shd w:fill="1B365D"/>
            <w:tcMar>
              <w:top w:w="120" w:type="dxa"/>
              <w:bottom w:w="120" w:type="dxa"/>
              <w:left w:w="140" w:type="dxa"/>
              <w:right w:w="140" w:type="dxa"/>
            </w:tcMar>
          </w:tcPr>
          <w:p>
            <w:pPr>
              <w:jc w:val="center"/>
            </w:pPr>
            <w:r>
              <w:rPr>
                <w:rFonts w:ascii="Calibri" w:hAnsi="Calibri"/>
                <w:b/>
                <w:color w:val="FFFFFF"/>
                <w:sz w:val="20"/>
              </w:rPr>
              <w:t>Technology / Framework</w:t>
            </w:r>
          </w:p>
        </w:tc>
        <w:tc>
          <w:tcPr>
            <w:tcW w:type="dxa" w:w="3120"/>
            <w:shd w:fill="1B365D"/>
            <w:tcMar>
              <w:top w:w="120" w:type="dxa"/>
              <w:bottom w:w="120" w:type="dxa"/>
              <w:left w:w="140" w:type="dxa"/>
              <w:right w:w="140" w:type="dxa"/>
            </w:tcMar>
          </w:tcPr>
          <w:p>
            <w:pPr>
              <w:jc w:val="center"/>
            </w:pPr>
            <w:r>
              <w:rPr>
                <w:rFonts w:ascii="Calibri" w:hAnsi="Calibri"/>
                <w:b/>
                <w:color w:val="FFFFFF"/>
                <w:sz w:val="20"/>
              </w:rPr>
              <w:t>Version / Configuration Specification</w:t>
            </w:r>
          </w:p>
        </w:tc>
      </w:tr>
      <w:tr>
        <w:trPr>
          <w:cantSplit/>
        </w:trPr>
        <w:tc>
          <w:tcPr>
            <w:tcW w:type="dxa" w:w="3120"/>
            <w:shd w:fill="FFFFFF"/>
            <w:tcMar>
              <w:top w:w="80" w:type="dxa"/>
              <w:bottom w:w="80" w:type="dxa"/>
              <w:left w:w="120" w:type="dxa"/>
              <w:right w:w="120" w:type="dxa"/>
            </w:tcMar>
          </w:tcPr>
          <w:p>
            <w:r>
              <w:rPr>
                <w:rFonts w:ascii="Calibri" w:hAnsi="Calibri"/>
                <w:color w:val="282828"/>
                <w:sz w:val="19"/>
              </w:rPr>
              <w:t>Backend Framework</w:t>
            </w:r>
          </w:p>
        </w:tc>
        <w:tc>
          <w:tcPr>
            <w:tcW w:type="dxa" w:w="3120"/>
            <w:shd w:fill="FFFFFF"/>
            <w:tcMar>
              <w:top w:w="80" w:type="dxa"/>
              <w:bottom w:w="80" w:type="dxa"/>
              <w:left w:w="120" w:type="dxa"/>
              <w:right w:w="120" w:type="dxa"/>
            </w:tcMar>
          </w:tcPr>
          <w:p>
            <w:r>
              <w:rPr>
                <w:rFonts w:ascii="Calibri" w:hAnsi="Calibri"/>
                <w:color w:val="282828"/>
                <w:sz w:val="19"/>
              </w:rPr>
              <w:t>SAP Cloud Application Programming Model (CAP)</w:t>
            </w:r>
          </w:p>
        </w:tc>
        <w:tc>
          <w:tcPr>
            <w:tcW w:type="dxa" w:w="3120"/>
            <w:shd w:fill="FFFFFF"/>
            <w:tcMar>
              <w:top w:w="80" w:type="dxa"/>
              <w:bottom w:w="80" w:type="dxa"/>
              <w:left w:w="120" w:type="dxa"/>
              <w:right w:w="120" w:type="dxa"/>
            </w:tcMar>
          </w:tcPr>
          <w:p>
            <w:r>
              <w:rPr>
                <w:rFonts w:ascii="Calibri" w:hAnsi="Calibri"/>
                <w:color w:val="282828"/>
                <w:sz w:val="19"/>
              </w:rPr>
              <w:t>@sap/cds ^9.0.2 / 10.1.1 (Node.js runtime)</w:t>
            </w:r>
          </w:p>
        </w:tc>
      </w:tr>
      <w:tr>
        <w:trPr>
          <w:cantSplit/>
        </w:trPr>
        <w:tc>
          <w:tcPr>
            <w:tcW w:type="dxa" w:w="3120"/>
            <w:shd w:fill="F4F7F9"/>
            <w:tcMar>
              <w:top w:w="80" w:type="dxa"/>
              <w:bottom w:w="80" w:type="dxa"/>
              <w:left w:w="120" w:type="dxa"/>
              <w:right w:w="120" w:type="dxa"/>
            </w:tcMar>
          </w:tcPr>
          <w:p>
            <w:r>
              <w:rPr>
                <w:rFonts w:ascii="Calibri" w:hAnsi="Calibri"/>
                <w:color w:val="282828"/>
                <w:sz w:val="19"/>
              </w:rPr>
              <w:t>Database Engine</w:t>
            </w:r>
          </w:p>
        </w:tc>
        <w:tc>
          <w:tcPr>
            <w:tcW w:type="dxa" w:w="3120"/>
            <w:shd w:fill="F4F7F9"/>
            <w:tcMar>
              <w:top w:w="80" w:type="dxa"/>
              <w:bottom w:w="80" w:type="dxa"/>
              <w:left w:w="120" w:type="dxa"/>
              <w:right w:w="120" w:type="dxa"/>
            </w:tcMar>
          </w:tcPr>
          <w:p>
            <w:r>
              <w:rPr>
                <w:rFonts w:ascii="Calibri" w:hAnsi="Calibri"/>
                <w:color w:val="282828"/>
                <w:sz w:val="19"/>
              </w:rPr>
              <w:t>SAP HANA Cloud</w:t>
            </w:r>
          </w:p>
        </w:tc>
        <w:tc>
          <w:tcPr>
            <w:tcW w:type="dxa" w:w="3120"/>
            <w:shd w:fill="F4F7F9"/>
            <w:tcMar>
              <w:top w:w="80" w:type="dxa"/>
              <w:bottom w:w="80" w:type="dxa"/>
              <w:left w:w="120" w:type="dxa"/>
              <w:right w:w="120" w:type="dxa"/>
            </w:tcMar>
          </w:tcPr>
          <w:p>
            <w:r>
              <w:rPr>
                <w:rFonts w:ascii="Calibri" w:hAnsi="Calibri"/>
                <w:color w:val="282828"/>
                <w:sz w:val="19"/>
              </w:rPr>
              <w:t>SAP HANA HDI Container managed via @cap-js/hana ^2.1.2</w:t>
            </w:r>
          </w:p>
        </w:tc>
      </w:tr>
      <w:tr>
        <w:trPr>
          <w:cantSplit/>
        </w:trPr>
        <w:tc>
          <w:tcPr>
            <w:tcW w:type="dxa" w:w="3120"/>
            <w:shd w:fill="FFFFFF"/>
            <w:tcMar>
              <w:top w:w="80" w:type="dxa"/>
              <w:bottom w:w="80" w:type="dxa"/>
              <w:left w:w="120" w:type="dxa"/>
              <w:right w:w="120" w:type="dxa"/>
            </w:tcMar>
          </w:tcPr>
          <w:p>
            <w:r>
              <w:rPr>
                <w:rFonts w:ascii="Calibri" w:hAnsi="Calibri"/>
                <w:color w:val="282828"/>
                <w:sz w:val="19"/>
              </w:rPr>
              <w:t>Service Protocol</w:t>
            </w:r>
          </w:p>
        </w:tc>
        <w:tc>
          <w:tcPr>
            <w:tcW w:type="dxa" w:w="3120"/>
            <w:shd w:fill="FFFFFF"/>
            <w:tcMar>
              <w:top w:w="80" w:type="dxa"/>
              <w:bottom w:w="80" w:type="dxa"/>
              <w:left w:w="120" w:type="dxa"/>
              <w:right w:w="120" w:type="dxa"/>
            </w:tcMar>
          </w:tcPr>
          <w:p>
            <w:r>
              <w:rPr>
                <w:rFonts w:ascii="Calibri" w:hAnsi="Calibri"/>
                <w:color w:val="282828"/>
                <w:sz w:val="19"/>
              </w:rPr>
              <w:t>OData V4</w:t>
            </w:r>
          </w:p>
        </w:tc>
        <w:tc>
          <w:tcPr>
            <w:tcW w:type="dxa" w:w="3120"/>
            <w:shd w:fill="FFFFFF"/>
            <w:tcMar>
              <w:top w:w="80" w:type="dxa"/>
              <w:bottom w:w="80" w:type="dxa"/>
              <w:left w:w="120" w:type="dxa"/>
              <w:right w:w="120" w:type="dxa"/>
            </w:tcMar>
          </w:tcPr>
          <w:p>
            <w:r>
              <w:rPr>
                <w:rFonts w:ascii="Calibri" w:hAnsi="Calibri"/>
                <w:color w:val="282828"/>
                <w:sz w:val="19"/>
              </w:rPr>
              <w:t>CatalogService exposed at /odata/v4/catalog</w:t>
            </w:r>
          </w:p>
        </w:tc>
      </w:tr>
      <w:tr>
        <w:trPr>
          <w:cantSplit/>
        </w:trPr>
        <w:tc>
          <w:tcPr>
            <w:tcW w:type="dxa" w:w="3120"/>
            <w:shd w:fill="F4F7F9"/>
            <w:tcMar>
              <w:top w:w="80" w:type="dxa"/>
              <w:bottom w:w="80" w:type="dxa"/>
              <w:left w:w="120" w:type="dxa"/>
              <w:right w:w="120" w:type="dxa"/>
            </w:tcMar>
          </w:tcPr>
          <w:p>
            <w:r>
              <w:rPr>
                <w:rFonts w:ascii="Calibri" w:hAnsi="Calibri"/>
                <w:color w:val="282828"/>
                <w:sz w:val="19"/>
              </w:rPr>
              <w:t>Freestyle Frontend</w:t>
            </w:r>
          </w:p>
        </w:tc>
        <w:tc>
          <w:tcPr>
            <w:tcW w:type="dxa" w:w="3120"/>
            <w:shd w:fill="F4F7F9"/>
            <w:tcMar>
              <w:top w:w="80" w:type="dxa"/>
              <w:bottom w:w="80" w:type="dxa"/>
              <w:left w:w="120" w:type="dxa"/>
              <w:right w:w="120" w:type="dxa"/>
            </w:tcMar>
          </w:tcPr>
          <w:p>
            <w:r>
              <w:rPr>
                <w:rFonts w:ascii="Calibri" w:hAnsi="Calibri"/>
                <w:color w:val="282828"/>
                <w:sz w:val="19"/>
              </w:rPr>
              <w:t>SAPUI5 Framework</w:t>
            </w:r>
          </w:p>
        </w:tc>
        <w:tc>
          <w:tcPr>
            <w:tcW w:type="dxa" w:w="3120"/>
            <w:shd w:fill="F4F7F9"/>
            <w:tcMar>
              <w:top w:w="80" w:type="dxa"/>
              <w:bottom w:w="80" w:type="dxa"/>
              <w:left w:w="120" w:type="dxa"/>
              <w:right w:w="120" w:type="dxa"/>
            </w:tcMar>
          </w:tcPr>
          <w:p>
            <w:r>
              <w:rPr>
                <w:rFonts w:ascii="Calibri" w:hAnsi="Calibri"/>
                <w:color w:val="282828"/>
                <w:sz w:val="19"/>
              </w:rPr>
              <w:t>Version 1.120+ (sap.m, sap.f, sap.ui.layout, sap.ui.table)</w:t>
            </w:r>
          </w:p>
        </w:tc>
      </w:tr>
      <w:tr>
        <w:trPr>
          <w:cantSplit/>
        </w:trPr>
        <w:tc>
          <w:tcPr>
            <w:tcW w:type="dxa" w:w="3120"/>
            <w:shd w:fill="FFFFFF"/>
            <w:tcMar>
              <w:top w:w="80" w:type="dxa"/>
              <w:bottom w:w="80" w:type="dxa"/>
              <w:left w:w="120" w:type="dxa"/>
              <w:right w:w="120" w:type="dxa"/>
            </w:tcMar>
          </w:tcPr>
          <w:p>
            <w:r>
              <w:rPr>
                <w:rFonts w:ascii="Calibri" w:hAnsi="Calibri"/>
                <w:color w:val="282828"/>
                <w:sz w:val="19"/>
              </w:rPr>
              <w:t>Metadata Frontend</w:t>
            </w:r>
          </w:p>
        </w:tc>
        <w:tc>
          <w:tcPr>
            <w:tcW w:type="dxa" w:w="3120"/>
            <w:shd w:fill="FFFFFF"/>
            <w:tcMar>
              <w:top w:w="80" w:type="dxa"/>
              <w:bottom w:w="80" w:type="dxa"/>
              <w:left w:w="120" w:type="dxa"/>
              <w:right w:w="120" w:type="dxa"/>
            </w:tcMar>
          </w:tcPr>
          <w:p>
            <w:r>
              <w:rPr>
                <w:rFonts w:ascii="Calibri" w:hAnsi="Calibri"/>
                <w:color w:val="282828"/>
                <w:sz w:val="19"/>
              </w:rPr>
              <w:t>SAP Fiori Elements V4</w:t>
            </w:r>
          </w:p>
        </w:tc>
        <w:tc>
          <w:tcPr>
            <w:tcW w:type="dxa" w:w="3120"/>
            <w:shd w:fill="FFFFFF"/>
            <w:tcMar>
              <w:top w:w="80" w:type="dxa"/>
              <w:bottom w:w="80" w:type="dxa"/>
              <w:left w:w="120" w:type="dxa"/>
              <w:right w:w="120" w:type="dxa"/>
            </w:tcMar>
          </w:tcPr>
          <w:p>
            <w:r>
              <w:rPr>
                <w:rFonts w:ascii="Calibri" w:hAnsi="Calibri"/>
                <w:color w:val="282828"/>
                <w:sz w:val="19"/>
              </w:rPr>
              <w:t>Standard List Report / Object Page floorplans</w:t>
            </w:r>
          </w:p>
        </w:tc>
      </w:tr>
      <w:tr>
        <w:trPr>
          <w:cantSplit/>
        </w:trPr>
        <w:tc>
          <w:tcPr>
            <w:tcW w:type="dxa" w:w="3120"/>
            <w:shd w:fill="F4F7F9"/>
            <w:tcMar>
              <w:top w:w="80" w:type="dxa"/>
              <w:bottom w:w="80" w:type="dxa"/>
              <w:left w:w="120" w:type="dxa"/>
              <w:right w:w="120" w:type="dxa"/>
            </w:tcMar>
          </w:tcPr>
          <w:p>
            <w:r>
              <w:rPr>
                <w:rFonts w:ascii="Calibri" w:hAnsi="Calibri"/>
                <w:color w:val="282828"/>
                <w:sz w:val="19"/>
              </w:rPr>
              <w:t>Cloud Packaging</w:t>
            </w:r>
          </w:p>
        </w:tc>
        <w:tc>
          <w:tcPr>
            <w:tcW w:type="dxa" w:w="3120"/>
            <w:shd w:fill="F4F7F9"/>
            <w:tcMar>
              <w:top w:w="80" w:type="dxa"/>
              <w:bottom w:w="80" w:type="dxa"/>
              <w:left w:w="120" w:type="dxa"/>
              <w:right w:w="120" w:type="dxa"/>
            </w:tcMar>
          </w:tcPr>
          <w:p>
            <w:r>
              <w:rPr>
                <w:rFonts w:ascii="Calibri" w:hAnsi="Calibri"/>
                <w:color w:val="282828"/>
                <w:sz w:val="19"/>
              </w:rPr>
              <w:t>Cloud MTA (Multi-Target Application)</w:t>
            </w:r>
          </w:p>
        </w:tc>
        <w:tc>
          <w:tcPr>
            <w:tcW w:type="dxa" w:w="3120"/>
            <w:shd w:fill="F4F7F9"/>
            <w:tcMar>
              <w:top w:w="80" w:type="dxa"/>
              <w:bottom w:w="80" w:type="dxa"/>
              <w:left w:w="120" w:type="dxa"/>
              <w:right w:w="120" w:type="dxa"/>
            </w:tcMar>
          </w:tcPr>
          <w:p>
            <w:r>
              <w:rPr>
                <w:rFonts w:ascii="Calibri" w:hAnsi="Calibri"/>
                <w:color w:val="282828"/>
                <w:sz w:val="19"/>
              </w:rPr>
              <w:t>Cloud Foundry MTA Builder (mta.yaml v1.0.0)</w:t>
            </w:r>
          </w:p>
        </w:tc>
      </w:tr>
      <w:tr>
        <w:trPr>
          <w:cantSplit/>
        </w:trPr>
        <w:tc>
          <w:tcPr>
            <w:tcW w:type="dxa" w:w="3120"/>
            <w:shd w:fill="FFFFFF"/>
            <w:tcMar>
              <w:top w:w="80" w:type="dxa"/>
              <w:bottom w:w="80" w:type="dxa"/>
              <w:left w:w="120" w:type="dxa"/>
              <w:right w:w="120" w:type="dxa"/>
            </w:tcMar>
          </w:tcPr>
          <w:p>
            <w:r>
              <w:rPr>
                <w:rFonts w:ascii="Calibri" w:hAnsi="Calibri"/>
                <w:color w:val="282828"/>
                <w:sz w:val="19"/>
              </w:rPr>
              <w:t>Local Tooling</w:t>
            </w:r>
          </w:p>
        </w:tc>
        <w:tc>
          <w:tcPr>
            <w:tcW w:type="dxa" w:w="3120"/>
            <w:shd w:fill="FFFFFF"/>
            <w:tcMar>
              <w:top w:w="80" w:type="dxa"/>
              <w:bottom w:w="80" w:type="dxa"/>
              <w:left w:w="120" w:type="dxa"/>
              <w:right w:w="120" w:type="dxa"/>
            </w:tcMar>
          </w:tcPr>
          <w:p>
            <w:r>
              <w:rPr>
                <w:rFonts w:ascii="Calibri" w:hAnsi="Calibri"/>
                <w:color w:val="282828"/>
                <w:sz w:val="19"/>
              </w:rPr>
              <w:t>SAP CDS Development Kit</w:t>
            </w:r>
          </w:p>
        </w:tc>
        <w:tc>
          <w:tcPr>
            <w:tcW w:type="dxa" w:w="3120"/>
            <w:shd w:fill="FFFFFF"/>
            <w:tcMar>
              <w:top w:w="80" w:type="dxa"/>
              <w:bottom w:w="80" w:type="dxa"/>
              <w:left w:w="120" w:type="dxa"/>
              <w:right w:w="120" w:type="dxa"/>
            </w:tcMar>
          </w:tcPr>
          <w:p>
            <w:r>
              <w:rPr>
                <w:rFonts w:ascii="Calibri" w:hAnsi="Calibri"/>
                <w:color w:val="282828"/>
                <w:sz w:val="19"/>
              </w:rPr>
              <w:t>@sap/cds-dk ^9.0.0 / cds-serve</w:t>
            </w:r>
          </w:p>
        </w:tc>
      </w:tr>
    </w:tbl>
    <w:p>
      <w:pPr>
        <w:pStyle w:val="Heading1"/>
        <w:keepNext/>
        <w:spacing w:before="320" w:after="120"/>
      </w:pPr>
      <w:r>
        <w:rPr>
          <w:rFonts w:ascii="Calibri Light" w:hAnsi="Calibri Light"/>
          <w:b/>
          <w:color w:val="1B365D"/>
          <w:sz w:val="36"/>
        </w:rPr>
        <w:t>3. Complete Project Directory Structure &amp; Artifact Inventory</w:t>
      </w:r>
    </w:p>
    <w:p>
      <w:r>
        <w:t>The repository follows standard SAP CAP multi-target application conventions, separating database definitions, service business logic, and UI applications into discrete top-level directories:</w:t>
      </w:r>
    </w:p>
    <w:p>
      <w:pPr>
        <w:spacing w:before="80" w:after="120"/>
      </w:pPr>
      <w:r>
        <w:rPr>
          <w:rFonts w:ascii="Consolas" w:hAnsi="Consolas"/>
          <w:sz w:val="17"/>
        </w:rPr>
        <w:t>PSA_Darshan-main/</w:t>
        <w:br/>
        <w:t>|-- app/</w:t>
        <w:br/>
        <w:t>|   |-- dashboardhub/          # Freestyle SAPUI5 Hub (Role-based entry launchpad)</w:t>
        <w:br/>
        <w:t>|   |-- employeed/             # Freestyle SAPUI5 Employee Dashboard (Timesheet logging)</w:t>
        <w:br/>
        <w:t>|   |-- manager/               # Freestyle SAPUI5 Manager Dashboard (Approvals &amp; Budgets)</w:t>
        <w:br/>
        <w:t>|   |-- admin/                 # Freestyle SAPUI5 Admin &amp; Finance Hub (10 Enterprise tabs)</w:t>
        <w:br/>
        <w:t>|   |-- project2/              # Fiori Elements App (Projects List Report / Object Page)</w:t>
        <w:br/>
        <w:t>|   |-- project3/              # Fiori Elements App (Timesheets List Report / Object Page)</w:t>
        <w:br/>
        <w:t>|   |-- project4/              # Fiori Elements App (Invoices List Report / Object Page)</w:t>
        <w:br/>
        <w:t>|-- db/</w:t>
        <w:br/>
        <w:t>|   |-- schema.cds             # Core domain entity models (11 entities + associations)</w:t>
        <w:br/>
        <w:t>|   |-- common.cds             # Shared reusable types and aspects</w:t>
        <w:br/>
        <w:t>|   |-- data/                  # CSV seed files for HANA HDI initialization</w:t>
        <w:br/>
        <w:t>|-- srv/</w:t>
        <w:br/>
        <w:t>|   |-- cat-service.cds        # CatalogService definition (OData V4 projections &amp; actions)</w:t>
        <w:br/>
        <w:t>|   |-- cat-service.js         # Backend implementation (2,579 lines of enterprise logic)</w:t>
        <w:br/>
        <w:t>|-- docs/                     # Architecture, Excel references, and project documentation</w:t>
        <w:br/>
        <w:t>|-- mta.yaml                   # Multi-Target Application deployment manifest</w:t>
        <w:br/>
        <w:t>|-- package.json               # Node.js project manifest and CDS runtime dependencies</w:t>
        <w:br/>
        <w:t>`-- .env                       # Local environment credentials (HANA HDI container binding)</w:t>
      </w:r>
    </w:p>
    <w:p>
      <w:pPr>
        <w:pStyle w:val="Heading1"/>
        <w:keepNext/>
        <w:spacing w:before="320" w:after="120"/>
      </w:pPr>
      <w:r>
        <w:rPr>
          <w:rFonts w:ascii="Calibri Light" w:hAnsi="Calibri Light"/>
          <w:b/>
          <w:color w:val="1B365D"/>
          <w:sz w:val="36"/>
        </w:rPr>
        <w:t>4. Frontend Application Architecture (Freestyle vs Elements)</w:t>
      </w:r>
    </w:p>
    <w:p>
      <w:r>
        <w:t>EnterprisePSA adopts a deliberate hybrid frontend strategy, combining high-interactivity Freestyle SAPUI5 applications with standardized SAP Fiori Elements applications. This architectural choice aligns UI floorplans with user persona requirements:</w:t>
      </w:r>
    </w:p>
    <w:p>
      <w:pPr>
        <w:pStyle w:val="ListBullet"/>
      </w:pPr>
      <w:r>
        <w:rPr>
          <w:b/>
        </w:rPr>
        <w:t xml:space="preserve">Freestyle SAPUI5 Applications (Custom MVC): </w:t>
      </w:r>
      <w:r>
        <w:t>Utilized for the Dashboard Hub, Employee Portal, Manager Workbench, and Admin/Finance Suite. These modules require complex dynamic interactions, real-time client-side KPI computations, multi-entity master-detail switches, responsive custom dialogs, and custom state bindings that exceed standard Fiori floorplan constraints.</w:t>
      </w:r>
    </w:p>
    <w:p>
      <w:pPr>
        <w:pStyle w:val="ListBullet"/>
      </w:pPr>
      <w:r>
        <w:rPr>
          <w:b/>
        </w:rPr>
        <w:t xml:space="preserve">SAP Fiori Elements Applications (Metadata-Driven): </w:t>
      </w:r>
      <w:r>
        <w:t>Utilized for Projects (project2), Timesheets (project3), and Invoices (project4). These applications leverage OData V4 annotations (@UI.LineItem, @UI.SelectionFields, @UI.HeaderInfo) to automatically render standardized List Report and Object Page views, guaranteeing out-of-the-box SAP UX consistency, responsive layouting, and standard export capabilities.</w:t>
      </w:r>
    </w:p>
    <w:p>
      <w:pPr>
        <w:pStyle w:val="Heading1"/>
        <w:keepNext/>
        <w:spacing w:before="320" w:after="120"/>
      </w:pPr>
      <w:r>
        <w:rPr>
          <w:rFonts w:ascii="Calibri Light" w:hAnsi="Calibri Light"/>
          <w:b/>
          <w:color w:val="1B365D"/>
          <w:sz w:val="36"/>
        </w:rPr>
        <w:t>5. Application-by-Application Deep Dive</w:t>
      </w:r>
    </w:p>
    <w:p>
      <w:pPr>
        <w:pStyle w:val="Heading2"/>
        <w:keepNext/>
        <w:spacing w:before="240" w:after="80"/>
      </w:pPr>
      <w:r>
        <w:rPr>
          <w:rFonts w:ascii="Calibri Light" w:hAnsi="Calibri Light"/>
          <w:b/>
          <w:color w:val="335C67"/>
          <w:sz w:val="28"/>
        </w:rPr>
        <w:t>5.1 Dashboard Hub (app/dashboardhub)</w:t>
      </w:r>
    </w:p>
    <w:p>
      <w:r>
        <w:t>The Dashboard Hub serves as the centralized role-based entry point. Built with sap.m.GenericTile and sap.f.Card controls, it presents role-specific cards directing users to their designated functional workspaces (Employee, Manager, Admin &amp; Finance). It features live system health indicators, rapid access to active client counts, and global project indicators.</w:t>
      </w:r>
    </w:p>
    <w:p>
      <w:pPr>
        <w:pStyle w:val="Heading2"/>
        <w:keepNext/>
        <w:spacing w:before="240" w:after="80"/>
      </w:pPr>
      <w:r>
        <w:rPr>
          <w:rFonts w:ascii="Calibri Light" w:hAnsi="Calibri Light"/>
          <w:b/>
          <w:color w:val="335C67"/>
          <w:sz w:val="28"/>
        </w:rPr>
        <w:t>5.2 Employee Dashboard (app/employeed)</w:t>
      </w:r>
    </w:p>
    <w:p>
      <w:r>
        <w:t>The Employee Portal empowers individual contributors to manage their weekly time logging. Key features include:</w:t>
      </w:r>
    </w:p>
    <w:p>
      <w:pPr>
        <w:pStyle w:val="ListBullet"/>
      </w:pPr>
      <w:r>
        <w:t>- Weekly Timesheet Period Switcher (selecting week start and end dates).</w:t>
      </w:r>
    </w:p>
    <w:p>
      <w:pPr>
        <w:pStyle w:val="ListBullet"/>
      </w:pPr>
      <w:r>
        <w:t>- Itemized Daily Time Logging against assigned project tasks with billable toggles.</w:t>
      </w:r>
    </w:p>
    <w:p>
      <w:pPr>
        <w:pStyle w:val="ListBullet"/>
      </w:pPr>
      <w:r>
        <w:t>- Timesheet Submission Action (triggering the submitTimesheet bound action).</w:t>
      </w:r>
    </w:p>
    <w:p>
      <w:pPr>
        <w:pStyle w:val="ListBullet"/>
      </w:pPr>
      <w:r>
        <w:t>- Editable Timesheet Workflow (allowing updates to week dates and unapproved entries).</w:t>
      </w:r>
    </w:p>
    <w:p>
      <w:pPr>
        <w:pStyle w:val="ListBullet"/>
      </w:pPr>
      <w:r>
        <w:t>- Real-time Personal Utilization KPI calculations based on a standard 40-hour work week.</w:t>
      </w:r>
    </w:p>
    <w:p>
      <w:pPr>
        <w:pStyle w:val="ListBullet"/>
      </w:pPr>
      <w:r>
        <w:t>- Rejection Inspection Dialog showing detailed manager feedback for rejected timesheets.</w:t>
      </w:r>
    </w:p>
    <w:p>
      <w:pPr>
        <w:pStyle w:val="Heading2"/>
        <w:keepNext/>
        <w:spacing w:before="240" w:after="80"/>
      </w:pPr>
      <w:r>
        <w:rPr>
          <w:rFonts w:ascii="Calibri Light" w:hAnsi="Calibri Light"/>
          <w:b/>
          <w:color w:val="335C67"/>
          <w:sz w:val="28"/>
        </w:rPr>
        <w:t>5.3 Manager Dashboard (app/manager)</w:t>
      </w:r>
    </w:p>
    <w:p>
      <w:r>
        <w:t>The Manager Workbench provides operational control over delivery teams, budgets, and timesheet approvals:</w:t>
      </w:r>
    </w:p>
    <w:p>
      <w:pPr>
        <w:pStyle w:val="ListBullet"/>
      </w:pPr>
      <w:r>
        <w:t>- Manager Selector &amp; Direct Reports View: Filters team members dynamically by department.</w:t>
      </w:r>
    </w:p>
    <w:p>
      <w:pPr>
        <w:pStyle w:val="ListBullet"/>
      </w:pPr>
      <w:r>
        <w:t>- Approvals Table: Reviews pending timesheets with inline employee details and entry expansions.</w:t>
      </w:r>
    </w:p>
    <w:p>
      <w:pPr>
        <w:pStyle w:val="ListBullet"/>
      </w:pPr>
      <w:r>
        <w:t>- Approval &amp; Rejection Workflow: Supports single-click approvals and rejection dialogs with mandatory reason input.</w:t>
      </w:r>
    </w:p>
    <w:p>
      <w:pPr>
        <w:pStyle w:val="ListBullet"/>
      </w:pPr>
      <w:r>
        <w:t>- Project &amp; Budget Monitoring: Visualizes project burn rates with semantic color thresholds (green &lt; 80%, yellow 80-90%, red &gt; 90%).</w:t>
      </w:r>
    </w:p>
    <w:p>
      <w:pPr>
        <w:pStyle w:val="ListBullet"/>
      </w:pPr>
      <w:r>
        <w:t>- Billing Trigger: Allows project managers to trigger draft invoice generation directly from approved hours.</w:t>
      </w:r>
    </w:p>
    <w:p>
      <w:pPr>
        <w:pStyle w:val="Heading2"/>
        <w:keepNext/>
        <w:spacing w:before="240" w:after="80"/>
      </w:pPr>
      <w:r>
        <w:rPr>
          <w:rFonts w:ascii="Calibri Light" w:hAnsi="Calibri Light"/>
          <w:b/>
          <w:color w:val="335C67"/>
          <w:sz w:val="28"/>
        </w:rPr>
        <w:t>5.4 Administration &amp; Finance Hub (app/admin)</w:t>
      </w:r>
    </w:p>
    <w:p>
      <w:r>
        <w:t>The flagship operational hub combines organizational setup with full financial accounting across 10 functional tabs:</w:t>
      </w:r>
    </w:p>
    <w:p>
      <w:pPr>
        <w:pStyle w:val="ListBullet"/>
      </w:pPr>
      <w:r>
        <w:t>1. Overview &amp; Finance KPIs: Real-time tiles for Total Invoiced, Total Paid, and Outstanding Balance.</w:t>
      </w:r>
    </w:p>
    <w:p>
      <w:pPr>
        <w:pStyle w:val="ListBullet"/>
      </w:pPr>
      <w:r>
        <w:t>2. Invoices Management: Full lifecycle control (Draft -&gt; Sent/Issued -&gt; Paid), Generate Invoice dialog, and PDF-style detail dialogs.</w:t>
      </w:r>
    </w:p>
    <w:p>
      <w:pPr>
        <w:pStyle w:val="ListBullet"/>
      </w:pPr>
      <w:r>
        <w:t>3. Payments Ledger: Real-time payment reconciliation and settlement status monitoring.</w:t>
      </w:r>
    </w:p>
    <w:p>
      <w:pPr>
        <w:pStyle w:val="ListBullet"/>
      </w:pPr>
      <w:r>
        <w:t>4. Projects &amp; Budgets Administration: Full CRUD on commercial contracts and fiscal budget caps.</w:t>
      </w:r>
    </w:p>
    <w:p>
      <w:pPr>
        <w:pStyle w:val="ListBullet"/>
      </w:pPr>
      <w:r>
        <w:t>5. Master Data Management: Dedicated tabs for Employees, Managers, Clients, Milestones, and Departments.</w:t>
      </w:r>
    </w:p>
    <w:p>
      <w:pPr>
        <w:pStyle w:val="Heading2"/>
        <w:keepNext/>
        <w:spacing w:before="240" w:after="80"/>
      </w:pPr>
      <w:r>
        <w:rPr>
          <w:rFonts w:ascii="Calibri Light" w:hAnsi="Calibri Light"/>
          <w:b/>
          <w:color w:val="335C67"/>
          <w:sz w:val="28"/>
        </w:rPr>
        <w:t>5.5 Fiori Elements Applications (project2, project3, project4)</w:t>
      </w:r>
    </w:p>
    <w:p>
      <w:r>
        <w:t>These applications provide enterprise metadata floorplans. app/project2 exposes Projects with deep navigation into associated milestones and budget line items. app/project3 enables organization-wide timesheet auditing. app/project4 provides financial controllers with structured invoice list reporting and payment status filtering.</w:t>
      </w:r>
    </w:p>
    <w:p>
      <w:pPr>
        <w:pStyle w:val="Heading1"/>
        <w:keepNext/>
        <w:spacing w:before="320" w:after="120"/>
      </w:pPr>
      <w:r>
        <w:rPr>
          <w:rFonts w:ascii="Calibri Light" w:hAnsi="Calibri Light"/>
          <w:b/>
          <w:color w:val="1B365D"/>
          <w:sz w:val="36"/>
        </w:rPr>
        <w:t>6. UI Selection Fields, Value Helps &amp; OData Annotations</w:t>
      </w:r>
    </w:p>
    <w:p>
      <w:r>
        <w:t>Across both Freestyle and Fiori Elements apps, searchability and data integrity are enforced via structured selection fields and value helps:</w:t>
      </w:r>
    </w:p>
    <w:p>
      <w:pPr>
        <w:pStyle w:val="ListBullet"/>
      </w:pPr>
      <w:r>
        <w:t>- Manager Selection: Dropdown value help bound to /odata/v4/catalog/Managers with employee name expansion.</w:t>
      </w:r>
    </w:p>
    <w:p>
      <w:pPr>
        <w:pStyle w:val="ListBullet"/>
      </w:pPr>
      <w:r>
        <w:t>- Client Selection: Search help bound to /odata/v4/catalog/Clients displaying client code and industry.</w:t>
      </w:r>
    </w:p>
    <w:p>
      <w:pPr>
        <w:pStyle w:val="ListBullet"/>
      </w:pPr>
      <w:r>
        <w:t>- Project Task Selection: Contextual value help filtering active tasks by project milestone.</w:t>
      </w:r>
    </w:p>
    <w:p>
      <w:pPr>
        <w:pStyle w:val="ListBullet"/>
      </w:pPr>
      <w:r>
        <w:t>- Invoice Status Filtering: Multi-state search filters for Draft, Sent, Paid, and Cancelled.</w:t>
      </w:r>
    </w:p>
    <w:p>
      <w:pPr>
        <w:pStyle w:val="Heading1"/>
        <w:keepNext/>
        <w:spacing w:before="320" w:after="120"/>
      </w:pPr>
      <w:r>
        <w:rPr>
          <w:rFonts w:ascii="Calibri Light" w:hAnsi="Calibri Light"/>
          <w:b/>
          <w:color w:val="1B365D"/>
          <w:sz w:val="36"/>
        </w:rPr>
        <w:t>7. Database Architecture &amp; Complete Schema Reference (11 Entities)</w:t>
      </w:r>
    </w:p>
    <w:p>
      <w:r>
        <w:t>The persistence layer is modeled in db/schema.cds and maps directly to SAP HANA Cloud HDI tables. The schema comprises 11 core entities designed with strict relational integrity: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B365D"/>
            <w:tcMar>
              <w:top w:w="120" w:type="dxa"/>
              <w:bottom w:w="120" w:type="dxa"/>
              <w:left w:w="140" w:type="dxa"/>
              <w:right w:w="140" w:type="dxa"/>
            </w:tcMar>
          </w:tcPr>
          <w:p>
            <w:pPr>
              <w:jc w:val="center"/>
            </w:pPr>
            <w:r>
              <w:rPr>
                <w:rFonts w:ascii="Calibri" w:hAnsi="Calibri"/>
                <w:b/>
                <w:color w:val="FFFFFF"/>
                <w:sz w:val="20"/>
              </w:rPr>
              <w:t>Entity Name</w:t>
            </w:r>
          </w:p>
        </w:tc>
        <w:tc>
          <w:tcPr>
            <w:tcW w:type="dxa" w:w="2340"/>
            <w:shd w:fill="1B365D"/>
            <w:tcMar>
              <w:top w:w="120" w:type="dxa"/>
              <w:bottom w:w="120" w:type="dxa"/>
              <w:left w:w="140" w:type="dxa"/>
              <w:right w:w="140" w:type="dxa"/>
            </w:tcMar>
          </w:tcPr>
          <w:p>
            <w:pPr>
              <w:jc w:val="center"/>
            </w:pPr>
            <w:r>
              <w:rPr>
                <w:rFonts w:ascii="Calibri" w:hAnsi="Calibri"/>
                <w:b/>
                <w:color w:val="FFFFFF"/>
                <w:sz w:val="20"/>
              </w:rPr>
              <w:t>Key Property</w:t>
            </w:r>
          </w:p>
        </w:tc>
        <w:tc>
          <w:tcPr>
            <w:tcW w:type="dxa" w:w="2340"/>
            <w:shd w:fill="1B365D"/>
            <w:tcMar>
              <w:top w:w="120" w:type="dxa"/>
              <w:bottom w:w="120" w:type="dxa"/>
              <w:left w:w="140" w:type="dxa"/>
              <w:right w:w="140" w:type="dxa"/>
            </w:tcMar>
          </w:tcPr>
          <w:p>
            <w:pPr>
              <w:jc w:val="center"/>
            </w:pPr>
            <w:r>
              <w:rPr>
                <w:rFonts w:ascii="Calibri" w:hAnsi="Calibri"/>
                <w:b/>
                <w:color w:val="FFFFFF"/>
                <w:sz w:val="20"/>
              </w:rPr>
              <w:t>Primary Attributes</w:t>
            </w:r>
          </w:p>
        </w:tc>
        <w:tc>
          <w:tcPr>
            <w:tcW w:type="dxa" w:w="2340"/>
            <w:shd w:fill="1B365D"/>
            <w:tcMar>
              <w:top w:w="120" w:type="dxa"/>
              <w:bottom w:w="120" w:type="dxa"/>
              <w:left w:w="140" w:type="dxa"/>
              <w:right w:w="140" w:type="dxa"/>
            </w:tcMar>
          </w:tcPr>
          <w:p>
            <w:pPr>
              <w:jc w:val="center"/>
            </w:pPr>
            <w:r>
              <w:rPr>
                <w:rFonts w:ascii="Calibri" w:hAnsi="Calibri"/>
                <w:b/>
                <w:color w:val="FFFFFF"/>
                <w:sz w:val="20"/>
              </w:rPr>
              <w:t>Target Associations</w:t>
            </w:r>
          </w:p>
        </w:tc>
      </w:tr>
      <w:tr>
        <w:trPr>
          <w:cantSplit/>
        </w:trPr>
        <w:tc>
          <w:tcPr>
            <w:tcW w:type="dxa" w:w="2340"/>
            <w:shd w:fill="FFFFFF"/>
            <w:tcMar>
              <w:top w:w="80" w:type="dxa"/>
              <w:bottom w:w="80" w:type="dxa"/>
              <w:left w:w="120" w:type="dxa"/>
              <w:right w:w="120" w:type="dxa"/>
            </w:tcMar>
          </w:tcPr>
          <w:p>
            <w:r>
              <w:rPr>
                <w:rFonts w:ascii="Calibri" w:hAnsi="Calibri"/>
                <w:color w:val="282828"/>
                <w:sz w:val="19"/>
              </w:rPr>
              <w:t>Departments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name, code, description</w:t>
            </w:r>
          </w:p>
        </w:tc>
        <w:tc>
          <w:tcPr>
            <w:tcW w:type="dxa" w:w="2340"/>
            <w:shd w:fill="FFFFFF"/>
            <w:tcMar>
              <w:top w:w="80" w:type="dxa"/>
              <w:bottom w:w="80" w:type="dxa"/>
              <w:left w:w="120" w:type="dxa"/>
              <w:right w:w="120" w:type="dxa"/>
            </w:tcMar>
          </w:tcPr>
          <w:p>
            <w:r>
              <w:rPr>
                <w:rFonts w:ascii="Calibri" w:hAnsi="Calibri"/>
                <w:color w:val="282828"/>
                <w:sz w:val="19"/>
              </w:rPr>
              <w:t>employees (1:N), managers (1:N)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Employees</w:t>
            </w:r>
          </w:p>
        </w:tc>
        <w:tc>
          <w:tcPr>
            <w:tcW w:type="dxa" w:w="2340"/>
            <w:shd w:fill="F4F7F9"/>
            <w:tcMar>
              <w:top w:w="80" w:type="dxa"/>
              <w:bottom w:w="80" w:type="dxa"/>
              <w:left w:w="120" w:type="dxa"/>
              <w:right w:w="120" w:type="dxa"/>
            </w:tcMar>
          </w:tcPr>
          <w:p>
            <w:r>
              <w:rPr>
                <w:rFonts w:ascii="Calibri" w:hAnsi="Calibri"/>
                <w:color w:val="282828"/>
                <w:sz w:val="19"/>
              </w:rPr>
              <w:t>ID: UUID</w:t>
            </w:r>
          </w:p>
        </w:tc>
        <w:tc>
          <w:tcPr>
            <w:tcW w:type="dxa" w:w="2340"/>
            <w:shd w:fill="F4F7F9"/>
            <w:tcMar>
              <w:top w:w="80" w:type="dxa"/>
              <w:bottom w:w="80" w:type="dxa"/>
              <w:left w:w="120" w:type="dxa"/>
              <w:right w:w="120" w:type="dxa"/>
            </w:tcMar>
          </w:tcPr>
          <w:p>
            <w:r>
              <w:rPr>
                <w:rFonts w:ascii="Calibri" w:hAnsi="Calibri"/>
                <w:color w:val="282828"/>
                <w:sz w:val="19"/>
              </w:rPr>
              <w:t>firstName, lastName, email, role, hourlyRate, status</w:t>
            </w:r>
          </w:p>
        </w:tc>
        <w:tc>
          <w:tcPr>
            <w:tcW w:type="dxa" w:w="2340"/>
            <w:shd w:fill="F4F7F9"/>
            <w:tcMar>
              <w:top w:w="80" w:type="dxa"/>
              <w:bottom w:w="80" w:type="dxa"/>
              <w:left w:w="120" w:type="dxa"/>
              <w:right w:w="120" w:type="dxa"/>
            </w:tcMar>
          </w:tcPr>
          <w:p>
            <w:r>
              <w:rPr>
                <w:rFonts w:ascii="Calibri" w:hAnsi="Calibri"/>
                <w:color w:val="282828"/>
                <w:sz w:val="19"/>
              </w:rPr>
              <w:t>department (N:1), managerProfile (1:1), timesheets (1:N)</w:t>
            </w:r>
          </w:p>
        </w:tc>
      </w:tr>
      <w:tr>
        <w:trPr>
          <w:cantSplit/>
        </w:trPr>
        <w:tc>
          <w:tcPr>
            <w:tcW w:type="dxa" w:w="2340"/>
            <w:shd w:fill="FFFFFF"/>
            <w:tcMar>
              <w:top w:w="80" w:type="dxa"/>
              <w:bottom w:w="80" w:type="dxa"/>
              <w:left w:w="120" w:type="dxa"/>
              <w:right w:w="120" w:type="dxa"/>
            </w:tcMar>
          </w:tcPr>
          <w:p>
            <w:r>
              <w:rPr>
                <w:rFonts w:ascii="Calibri" w:hAnsi="Calibri"/>
                <w:color w:val="282828"/>
                <w:sz w:val="19"/>
              </w:rPr>
              <w:t>Managers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approvalLimit, level</w:t>
            </w:r>
          </w:p>
        </w:tc>
        <w:tc>
          <w:tcPr>
            <w:tcW w:type="dxa" w:w="2340"/>
            <w:shd w:fill="FFFFFF"/>
            <w:tcMar>
              <w:top w:w="80" w:type="dxa"/>
              <w:bottom w:w="80" w:type="dxa"/>
              <w:left w:w="120" w:type="dxa"/>
              <w:right w:w="120" w:type="dxa"/>
            </w:tcMar>
          </w:tcPr>
          <w:p>
            <w:r>
              <w:rPr>
                <w:rFonts w:ascii="Calibri" w:hAnsi="Calibri"/>
                <w:color w:val="282828"/>
                <w:sz w:val="19"/>
              </w:rPr>
              <w:t>department (N:1), employeeProfile (1:1), projects (1:N), directReports (1:N)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Clients</w:t>
            </w:r>
          </w:p>
        </w:tc>
        <w:tc>
          <w:tcPr>
            <w:tcW w:type="dxa" w:w="2340"/>
            <w:shd w:fill="F4F7F9"/>
            <w:tcMar>
              <w:top w:w="80" w:type="dxa"/>
              <w:bottom w:w="80" w:type="dxa"/>
              <w:left w:w="120" w:type="dxa"/>
              <w:right w:w="120" w:type="dxa"/>
            </w:tcMar>
          </w:tcPr>
          <w:p>
            <w:r>
              <w:rPr>
                <w:rFonts w:ascii="Calibri" w:hAnsi="Calibri"/>
                <w:color w:val="282828"/>
                <w:sz w:val="19"/>
              </w:rPr>
              <w:t>ID: UUID</w:t>
            </w:r>
          </w:p>
        </w:tc>
        <w:tc>
          <w:tcPr>
            <w:tcW w:type="dxa" w:w="2340"/>
            <w:shd w:fill="F4F7F9"/>
            <w:tcMar>
              <w:top w:w="80" w:type="dxa"/>
              <w:bottom w:w="80" w:type="dxa"/>
              <w:left w:w="120" w:type="dxa"/>
              <w:right w:w="120" w:type="dxa"/>
            </w:tcMar>
          </w:tcPr>
          <w:p>
            <w:r>
              <w:rPr>
                <w:rFonts w:ascii="Calibri" w:hAnsi="Calibri"/>
                <w:color w:val="282828"/>
                <w:sz w:val="19"/>
              </w:rPr>
              <w:t>name, industry, contactEmail, paymentTerms, creditRating</w:t>
            </w:r>
          </w:p>
        </w:tc>
        <w:tc>
          <w:tcPr>
            <w:tcW w:type="dxa" w:w="2340"/>
            <w:shd w:fill="F4F7F9"/>
            <w:tcMar>
              <w:top w:w="80" w:type="dxa"/>
              <w:bottom w:w="80" w:type="dxa"/>
              <w:left w:w="120" w:type="dxa"/>
              <w:right w:w="120" w:type="dxa"/>
            </w:tcMar>
          </w:tcPr>
          <w:p>
            <w:r>
              <w:rPr>
                <w:rFonts w:ascii="Calibri" w:hAnsi="Calibri"/>
                <w:color w:val="282828"/>
                <w:sz w:val="19"/>
              </w:rPr>
              <w:t>projects (1:N), invoices (1:N)</w:t>
            </w:r>
          </w:p>
        </w:tc>
      </w:tr>
      <w:tr>
        <w:trPr>
          <w:cantSplit/>
        </w:trPr>
        <w:tc>
          <w:tcPr>
            <w:tcW w:type="dxa" w:w="2340"/>
            <w:shd w:fill="FFFFFF"/>
            <w:tcMar>
              <w:top w:w="80" w:type="dxa"/>
              <w:bottom w:w="80" w:type="dxa"/>
              <w:left w:w="120" w:type="dxa"/>
              <w:right w:w="120" w:type="dxa"/>
            </w:tcMar>
          </w:tcPr>
          <w:p>
            <w:r>
              <w:rPr>
                <w:rFonts w:ascii="Calibri" w:hAnsi="Calibri"/>
                <w:color w:val="282828"/>
                <w:sz w:val="19"/>
              </w:rPr>
              <w:t>Projects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name, code, startDate, endDate, status, currency</w:t>
            </w:r>
          </w:p>
        </w:tc>
        <w:tc>
          <w:tcPr>
            <w:tcW w:type="dxa" w:w="2340"/>
            <w:shd w:fill="FFFFFF"/>
            <w:tcMar>
              <w:top w:w="80" w:type="dxa"/>
              <w:bottom w:w="80" w:type="dxa"/>
              <w:left w:w="120" w:type="dxa"/>
              <w:right w:w="120" w:type="dxa"/>
            </w:tcMar>
          </w:tcPr>
          <w:p>
            <w:r>
              <w:rPr>
                <w:rFonts w:ascii="Calibri" w:hAnsi="Calibri"/>
                <w:color w:val="282828"/>
                <w:sz w:val="19"/>
              </w:rPr>
              <w:t>client (N:1), manager (N:1), budget (1:1), milestones (1:N), invoices (1:N)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Budgets</w:t>
            </w:r>
          </w:p>
        </w:tc>
        <w:tc>
          <w:tcPr>
            <w:tcW w:type="dxa" w:w="2340"/>
            <w:shd w:fill="F4F7F9"/>
            <w:tcMar>
              <w:top w:w="80" w:type="dxa"/>
              <w:bottom w:w="80" w:type="dxa"/>
              <w:left w:w="120" w:type="dxa"/>
              <w:right w:w="120" w:type="dxa"/>
            </w:tcMar>
          </w:tcPr>
          <w:p>
            <w:r>
              <w:rPr>
                <w:rFonts w:ascii="Calibri" w:hAnsi="Calibri"/>
                <w:color w:val="282828"/>
                <w:sz w:val="19"/>
              </w:rPr>
              <w:t>ID: UUID</w:t>
            </w:r>
          </w:p>
        </w:tc>
        <w:tc>
          <w:tcPr>
            <w:tcW w:type="dxa" w:w="2340"/>
            <w:shd w:fill="F4F7F9"/>
            <w:tcMar>
              <w:top w:w="80" w:type="dxa"/>
              <w:bottom w:w="80" w:type="dxa"/>
              <w:left w:w="120" w:type="dxa"/>
              <w:right w:w="120" w:type="dxa"/>
            </w:tcMar>
          </w:tcPr>
          <w:p>
            <w:r>
              <w:rPr>
                <w:rFonts w:ascii="Calibri" w:hAnsi="Calibri"/>
                <w:color w:val="282828"/>
                <w:sz w:val="19"/>
              </w:rPr>
              <w:t>totalAmount, spentAmount, remainingAmount, laborBudget</w:t>
            </w:r>
          </w:p>
        </w:tc>
        <w:tc>
          <w:tcPr>
            <w:tcW w:type="dxa" w:w="2340"/>
            <w:shd w:fill="F4F7F9"/>
            <w:tcMar>
              <w:top w:w="80" w:type="dxa"/>
              <w:bottom w:w="80" w:type="dxa"/>
              <w:left w:w="120" w:type="dxa"/>
              <w:right w:w="120" w:type="dxa"/>
            </w:tcMar>
          </w:tcPr>
          <w:p>
            <w:r>
              <w:rPr>
                <w:rFonts w:ascii="Calibri" w:hAnsi="Calibri"/>
                <w:color w:val="282828"/>
                <w:sz w:val="19"/>
              </w:rPr>
              <w:t>project (1:1)</w:t>
            </w:r>
          </w:p>
        </w:tc>
      </w:tr>
      <w:tr>
        <w:trPr>
          <w:cantSplit/>
        </w:trPr>
        <w:tc>
          <w:tcPr>
            <w:tcW w:type="dxa" w:w="2340"/>
            <w:shd w:fill="FFFFFF"/>
            <w:tcMar>
              <w:top w:w="80" w:type="dxa"/>
              <w:bottom w:w="80" w:type="dxa"/>
              <w:left w:w="120" w:type="dxa"/>
              <w:right w:w="120" w:type="dxa"/>
            </w:tcMar>
          </w:tcPr>
          <w:p>
            <w:r>
              <w:rPr>
                <w:rFonts w:ascii="Calibri" w:hAnsi="Calibri"/>
                <w:color w:val="282828"/>
                <w:sz w:val="19"/>
              </w:rPr>
              <w:t>Milestones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name, targetDate, completionDate, status, weight</w:t>
            </w:r>
          </w:p>
        </w:tc>
        <w:tc>
          <w:tcPr>
            <w:tcW w:type="dxa" w:w="2340"/>
            <w:shd w:fill="FFFFFF"/>
            <w:tcMar>
              <w:top w:w="80" w:type="dxa"/>
              <w:bottom w:w="80" w:type="dxa"/>
              <w:left w:w="120" w:type="dxa"/>
              <w:right w:w="120" w:type="dxa"/>
            </w:tcMar>
          </w:tcPr>
          <w:p>
            <w:r>
              <w:rPr>
                <w:rFonts w:ascii="Calibri" w:hAnsi="Calibri"/>
                <w:color w:val="282828"/>
                <w:sz w:val="19"/>
              </w:rPr>
              <w:t>project (N:1), tasks (1:N)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Tasks</w:t>
            </w:r>
          </w:p>
        </w:tc>
        <w:tc>
          <w:tcPr>
            <w:tcW w:type="dxa" w:w="2340"/>
            <w:shd w:fill="F4F7F9"/>
            <w:tcMar>
              <w:top w:w="80" w:type="dxa"/>
              <w:bottom w:w="80" w:type="dxa"/>
              <w:left w:w="120" w:type="dxa"/>
              <w:right w:w="120" w:type="dxa"/>
            </w:tcMar>
          </w:tcPr>
          <w:p>
            <w:r>
              <w:rPr>
                <w:rFonts w:ascii="Calibri" w:hAnsi="Calibri"/>
                <w:color w:val="282828"/>
                <w:sz w:val="19"/>
              </w:rPr>
              <w:t>ID: UUID</w:t>
            </w:r>
          </w:p>
        </w:tc>
        <w:tc>
          <w:tcPr>
            <w:tcW w:type="dxa" w:w="2340"/>
            <w:shd w:fill="F4F7F9"/>
            <w:tcMar>
              <w:top w:w="80" w:type="dxa"/>
              <w:bottom w:w="80" w:type="dxa"/>
              <w:left w:w="120" w:type="dxa"/>
              <w:right w:w="120" w:type="dxa"/>
            </w:tcMar>
          </w:tcPr>
          <w:p>
            <w:r>
              <w:rPr>
                <w:rFonts w:ascii="Calibri" w:hAnsi="Calibri"/>
                <w:color w:val="282828"/>
                <w:sz w:val="19"/>
              </w:rPr>
              <w:t>title, estimatedHours, actualHours, billable, status</w:t>
            </w:r>
          </w:p>
        </w:tc>
        <w:tc>
          <w:tcPr>
            <w:tcW w:type="dxa" w:w="2340"/>
            <w:shd w:fill="F4F7F9"/>
            <w:tcMar>
              <w:top w:w="80" w:type="dxa"/>
              <w:bottom w:w="80" w:type="dxa"/>
              <w:left w:w="120" w:type="dxa"/>
              <w:right w:w="120" w:type="dxa"/>
            </w:tcMar>
          </w:tcPr>
          <w:p>
            <w:r>
              <w:rPr>
                <w:rFonts w:ascii="Calibri" w:hAnsi="Calibri"/>
                <w:color w:val="282828"/>
                <w:sz w:val="19"/>
              </w:rPr>
              <w:t>milestone (N:1), assignedTo (N:1), timesheetEntries (1:N)</w:t>
            </w:r>
          </w:p>
        </w:tc>
      </w:tr>
      <w:tr>
        <w:trPr>
          <w:cantSplit/>
        </w:trPr>
        <w:tc>
          <w:tcPr>
            <w:tcW w:type="dxa" w:w="2340"/>
            <w:shd w:fill="FFFFFF"/>
            <w:tcMar>
              <w:top w:w="80" w:type="dxa"/>
              <w:bottom w:w="80" w:type="dxa"/>
              <w:left w:w="120" w:type="dxa"/>
              <w:right w:w="120" w:type="dxa"/>
            </w:tcMar>
          </w:tcPr>
          <w:p>
            <w:r>
              <w:rPr>
                <w:rFonts w:ascii="Calibri" w:hAnsi="Calibri"/>
                <w:color w:val="282828"/>
                <w:sz w:val="19"/>
              </w:rPr>
              <w:t>Timesheets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weekStartDate, weekEndDate, totalHours, status, rejectionReason</w:t>
            </w:r>
          </w:p>
        </w:tc>
        <w:tc>
          <w:tcPr>
            <w:tcW w:type="dxa" w:w="2340"/>
            <w:shd w:fill="FFFFFF"/>
            <w:tcMar>
              <w:top w:w="80" w:type="dxa"/>
              <w:bottom w:w="80" w:type="dxa"/>
              <w:left w:w="120" w:type="dxa"/>
              <w:right w:w="120" w:type="dxa"/>
            </w:tcMar>
          </w:tcPr>
          <w:p>
            <w:r>
              <w:rPr>
                <w:rFonts w:ascii="Calibri" w:hAnsi="Calibri"/>
                <w:color w:val="282828"/>
                <w:sz w:val="19"/>
              </w:rPr>
              <w:t>employee (N:1), entries (1:N)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TimesheetEntries</w:t>
            </w:r>
          </w:p>
        </w:tc>
        <w:tc>
          <w:tcPr>
            <w:tcW w:type="dxa" w:w="2340"/>
            <w:shd w:fill="F4F7F9"/>
            <w:tcMar>
              <w:top w:w="80" w:type="dxa"/>
              <w:bottom w:w="80" w:type="dxa"/>
              <w:left w:w="120" w:type="dxa"/>
              <w:right w:w="120" w:type="dxa"/>
            </w:tcMar>
          </w:tcPr>
          <w:p>
            <w:r>
              <w:rPr>
                <w:rFonts w:ascii="Calibri" w:hAnsi="Calibri"/>
                <w:color w:val="282828"/>
                <w:sz w:val="19"/>
              </w:rPr>
              <w:t>ID: UUID</w:t>
            </w:r>
          </w:p>
        </w:tc>
        <w:tc>
          <w:tcPr>
            <w:tcW w:type="dxa" w:w="2340"/>
            <w:shd w:fill="F4F7F9"/>
            <w:tcMar>
              <w:top w:w="80" w:type="dxa"/>
              <w:bottom w:w="80" w:type="dxa"/>
              <w:left w:w="120" w:type="dxa"/>
              <w:right w:w="120" w:type="dxa"/>
            </w:tcMar>
          </w:tcPr>
          <w:p>
            <w:r>
              <w:rPr>
                <w:rFonts w:ascii="Calibri" w:hAnsi="Calibri"/>
                <w:color w:val="282828"/>
                <w:sz w:val="19"/>
              </w:rPr>
              <w:t>workDate, hours, description, billable</w:t>
            </w:r>
          </w:p>
        </w:tc>
        <w:tc>
          <w:tcPr>
            <w:tcW w:type="dxa" w:w="2340"/>
            <w:shd w:fill="F4F7F9"/>
            <w:tcMar>
              <w:top w:w="80" w:type="dxa"/>
              <w:bottom w:w="80" w:type="dxa"/>
              <w:left w:w="120" w:type="dxa"/>
              <w:right w:w="120" w:type="dxa"/>
            </w:tcMar>
          </w:tcPr>
          <w:p>
            <w:r>
              <w:rPr>
                <w:rFonts w:ascii="Calibri" w:hAnsi="Calibri"/>
                <w:color w:val="282828"/>
                <w:sz w:val="19"/>
              </w:rPr>
              <w:t>timesheet (N:1), task (N:1)</w:t>
            </w:r>
          </w:p>
        </w:tc>
      </w:tr>
      <w:tr>
        <w:trPr>
          <w:cantSplit/>
        </w:trPr>
        <w:tc>
          <w:tcPr>
            <w:tcW w:type="dxa" w:w="2340"/>
            <w:shd w:fill="FFFFFF"/>
            <w:tcMar>
              <w:top w:w="80" w:type="dxa"/>
              <w:bottom w:w="80" w:type="dxa"/>
              <w:left w:w="120" w:type="dxa"/>
              <w:right w:w="120" w:type="dxa"/>
            </w:tcMar>
          </w:tcPr>
          <w:p>
            <w:r>
              <w:rPr>
                <w:rFonts w:ascii="Calibri" w:hAnsi="Calibri"/>
                <w:color w:val="282828"/>
                <w:sz w:val="19"/>
              </w:rPr>
              <w:t>Invoices</w:t>
            </w:r>
          </w:p>
        </w:tc>
        <w:tc>
          <w:tcPr>
            <w:tcW w:type="dxa" w:w="2340"/>
            <w:shd w:fill="FFFFFF"/>
            <w:tcMar>
              <w:top w:w="80" w:type="dxa"/>
              <w:bottom w:w="80" w:type="dxa"/>
              <w:left w:w="120" w:type="dxa"/>
              <w:right w:w="120" w:type="dxa"/>
            </w:tcMar>
          </w:tcPr>
          <w:p>
            <w:r>
              <w:rPr>
                <w:rFonts w:ascii="Calibri" w:hAnsi="Calibri"/>
                <w:color w:val="282828"/>
                <w:sz w:val="19"/>
              </w:rPr>
              <w:t>ID: UUID</w:t>
            </w:r>
          </w:p>
        </w:tc>
        <w:tc>
          <w:tcPr>
            <w:tcW w:type="dxa" w:w="2340"/>
            <w:shd w:fill="FFFFFF"/>
            <w:tcMar>
              <w:top w:w="80" w:type="dxa"/>
              <w:bottom w:w="80" w:type="dxa"/>
              <w:left w:w="120" w:type="dxa"/>
              <w:right w:w="120" w:type="dxa"/>
            </w:tcMar>
          </w:tcPr>
          <w:p>
            <w:r>
              <w:rPr>
                <w:rFonts w:ascii="Calibri" w:hAnsi="Calibri"/>
                <w:color w:val="282828"/>
                <w:sz w:val="19"/>
              </w:rPr>
              <w:t>invoiceNumber, subtotal, taxAmount, totalAmount, status, paymentStatus</w:t>
            </w:r>
          </w:p>
        </w:tc>
        <w:tc>
          <w:tcPr>
            <w:tcW w:type="dxa" w:w="2340"/>
            <w:shd w:fill="FFFFFF"/>
            <w:tcMar>
              <w:top w:w="80" w:type="dxa"/>
              <w:bottom w:w="80" w:type="dxa"/>
              <w:left w:w="120" w:type="dxa"/>
              <w:right w:w="120" w:type="dxa"/>
            </w:tcMar>
          </w:tcPr>
          <w:p>
            <w:r>
              <w:rPr>
                <w:rFonts w:ascii="Calibri" w:hAnsi="Calibri"/>
                <w:color w:val="282828"/>
                <w:sz w:val="19"/>
              </w:rPr>
              <w:t>project (N:1), client (N:1)</w:t>
            </w:r>
          </w:p>
        </w:tc>
      </w:tr>
    </w:tbl>
    <w:p>
      <w:pPr>
        <w:pStyle w:val="Heading1"/>
        <w:keepNext/>
        <w:spacing w:before="320" w:after="120"/>
      </w:pPr>
      <w:r>
        <w:rPr>
          <w:rFonts w:ascii="Calibri Light" w:hAnsi="Calibri Light"/>
          <w:b/>
          <w:color w:val="1B365D"/>
          <w:sz w:val="36"/>
        </w:rPr>
        <w:t>8. OData V4 Service Architecture &amp; CatalogService Definition</w:t>
      </w:r>
    </w:p>
    <w:p>
      <w:r>
        <w:t>CatalogService is exposed at /odata/v4/catalog in srv/cat-service.cds. It projects all 11 domain entities, allowing deep expansions ($expand=employee,entries,tasks) and provides bound and unbound actions for transaction processing.</w:t>
      </w:r>
    </w:p>
    <w:p>
      <w:r>
        <w:t>Implementation logic is centralized in srv/cat-service.js (2,579 lines of robust Node.js code). Custom handlers manage lifecycle events (before, on, after), automate calculated fields (total hours, invoice tax, budget burn), and enforce business integrity.</w:t>
      </w:r>
    </w:p>
    <w:p>
      <w:pPr>
        <w:pStyle w:val="Heading1"/>
        <w:keepNext/>
        <w:spacing w:before="320" w:after="120"/>
      </w:pPr>
      <w:r>
        <w:rPr>
          <w:rFonts w:ascii="Calibri Light" w:hAnsi="Calibri Light"/>
          <w:b/>
          <w:color w:val="1B365D"/>
          <w:sz w:val="36"/>
        </w:rPr>
        <w:t>9. Complete Function &amp; Action Reference</w:t>
      </w:r>
    </w:p>
    <w:p>
      <w:r>
        <w:t>EnterprisePSA implements 6 bound actions, 1 analytical function, and 30 unbound CRUD actions: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B365D"/>
            <w:tcMar>
              <w:top w:w="120" w:type="dxa"/>
              <w:bottom w:w="120" w:type="dxa"/>
              <w:left w:w="140" w:type="dxa"/>
              <w:right w:w="140" w:type="dxa"/>
            </w:tcMar>
          </w:tcPr>
          <w:p>
            <w:pPr>
              <w:jc w:val="center"/>
            </w:pPr>
            <w:r>
              <w:rPr>
                <w:rFonts w:ascii="Calibri" w:hAnsi="Calibri"/>
                <w:b/>
                <w:color w:val="FFFFFF"/>
                <w:sz w:val="20"/>
              </w:rPr>
              <w:t>Action / Function</w:t>
            </w:r>
          </w:p>
        </w:tc>
        <w:tc>
          <w:tcPr>
            <w:tcW w:type="dxa" w:w="2340"/>
            <w:shd w:fill="1B365D"/>
            <w:tcMar>
              <w:top w:w="120" w:type="dxa"/>
              <w:bottom w:w="120" w:type="dxa"/>
              <w:left w:w="140" w:type="dxa"/>
              <w:right w:w="140" w:type="dxa"/>
            </w:tcMar>
          </w:tcPr>
          <w:p>
            <w:pPr>
              <w:jc w:val="center"/>
            </w:pPr>
            <w:r>
              <w:rPr>
                <w:rFonts w:ascii="Calibri" w:hAnsi="Calibri"/>
                <w:b/>
                <w:color w:val="FFFFFF"/>
                <w:sz w:val="20"/>
              </w:rPr>
              <w:t>Type &amp; Binding</w:t>
            </w:r>
          </w:p>
        </w:tc>
        <w:tc>
          <w:tcPr>
            <w:tcW w:type="dxa" w:w="2340"/>
            <w:shd w:fill="1B365D"/>
            <w:tcMar>
              <w:top w:w="120" w:type="dxa"/>
              <w:bottom w:w="120" w:type="dxa"/>
              <w:left w:w="140" w:type="dxa"/>
              <w:right w:w="140" w:type="dxa"/>
            </w:tcMar>
          </w:tcPr>
          <w:p>
            <w:pPr>
              <w:jc w:val="center"/>
            </w:pPr>
            <w:r>
              <w:rPr>
                <w:rFonts w:ascii="Calibri" w:hAnsi="Calibri"/>
                <w:b/>
                <w:color w:val="FFFFFF"/>
                <w:sz w:val="20"/>
              </w:rPr>
              <w:t>Signature / Parameters</w:t>
            </w:r>
          </w:p>
        </w:tc>
        <w:tc>
          <w:tcPr>
            <w:tcW w:type="dxa" w:w="2340"/>
            <w:shd w:fill="1B365D"/>
            <w:tcMar>
              <w:top w:w="120" w:type="dxa"/>
              <w:bottom w:w="120" w:type="dxa"/>
              <w:left w:w="140" w:type="dxa"/>
              <w:right w:w="140" w:type="dxa"/>
            </w:tcMar>
          </w:tcPr>
          <w:p>
            <w:pPr>
              <w:jc w:val="center"/>
            </w:pPr>
            <w:r>
              <w:rPr>
                <w:rFonts w:ascii="Calibri" w:hAnsi="Calibri"/>
                <w:b/>
                <w:color w:val="FFFFFF"/>
                <w:sz w:val="20"/>
              </w:rPr>
              <w:t>Business Logic &amp; Impact</w:t>
            </w:r>
          </w:p>
        </w:tc>
      </w:tr>
      <w:tr>
        <w:trPr>
          <w:cantSplit/>
        </w:trPr>
        <w:tc>
          <w:tcPr>
            <w:tcW w:type="dxa" w:w="2340"/>
            <w:shd w:fill="FFFFFF"/>
            <w:tcMar>
              <w:top w:w="80" w:type="dxa"/>
              <w:bottom w:w="80" w:type="dxa"/>
              <w:left w:w="120" w:type="dxa"/>
              <w:right w:w="120" w:type="dxa"/>
            </w:tcMar>
          </w:tcPr>
          <w:p>
            <w:r>
              <w:rPr>
                <w:rFonts w:ascii="Calibri" w:hAnsi="Calibri"/>
                <w:color w:val="282828"/>
                <w:sz w:val="19"/>
              </w:rPr>
              <w:t>generateInvoice</w:t>
            </w:r>
          </w:p>
        </w:tc>
        <w:tc>
          <w:tcPr>
            <w:tcW w:type="dxa" w:w="2340"/>
            <w:shd w:fill="FFFFFF"/>
            <w:tcMar>
              <w:top w:w="80" w:type="dxa"/>
              <w:bottom w:w="80" w:type="dxa"/>
              <w:left w:w="120" w:type="dxa"/>
              <w:right w:w="120" w:type="dxa"/>
            </w:tcMar>
          </w:tcPr>
          <w:p>
            <w:r>
              <w:rPr>
                <w:rFonts w:ascii="Calibri" w:hAnsi="Calibri"/>
                <w:color w:val="282828"/>
                <w:sz w:val="19"/>
              </w:rPr>
              <w:t>Bound Action (Projects)</w:t>
            </w:r>
          </w:p>
        </w:tc>
        <w:tc>
          <w:tcPr>
            <w:tcW w:type="dxa" w:w="2340"/>
            <w:shd w:fill="FFFFFF"/>
            <w:tcMar>
              <w:top w:w="80" w:type="dxa"/>
              <w:bottom w:w="80" w:type="dxa"/>
              <w:left w:w="120" w:type="dxa"/>
              <w:right w:w="120" w:type="dxa"/>
            </w:tcMar>
          </w:tcPr>
          <w:p>
            <w:r>
              <w:rPr>
                <w:rFonts w:ascii="Calibri" w:hAnsi="Calibri"/>
                <w:color w:val="282828"/>
                <w:sz w:val="19"/>
              </w:rPr>
              <w:t>None (Context bound to Project ID)</w:t>
            </w:r>
          </w:p>
        </w:tc>
        <w:tc>
          <w:tcPr>
            <w:tcW w:type="dxa" w:w="2340"/>
            <w:shd w:fill="FFFFFF"/>
            <w:tcMar>
              <w:top w:w="80" w:type="dxa"/>
              <w:bottom w:w="80" w:type="dxa"/>
              <w:left w:w="120" w:type="dxa"/>
              <w:right w:w="120" w:type="dxa"/>
            </w:tcMar>
          </w:tcPr>
          <w:p>
            <w:r>
              <w:rPr>
                <w:rFonts w:ascii="Calibri" w:hAnsi="Calibri"/>
                <w:color w:val="282828"/>
                <w:sz w:val="19"/>
              </w:rPr>
              <w:t>Calculates approved unbilled timesheet hours, computes 18% tax, creates Draft invoice, sets timesheets to 'Invoiced'.</w:t>
            </w:r>
          </w:p>
        </w:tc>
      </w:tr>
      <w:tr>
        <w:trPr>
          <w:cantSplit/>
        </w:trPr>
        <w:tc>
          <w:tcPr>
            <w:tcW w:type="dxa" w:w="2340"/>
            <w:shd w:fill="F4F7F9"/>
            <w:tcMar>
              <w:top w:w="80" w:type="dxa"/>
              <w:bottom w:w="80" w:type="dxa"/>
              <w:left w:w="120" w:type="dxa"/>
              <w:right w:w="120" w:type="dxa"/>
            </w:tcMar>
          </w:tcPr>
          <w:p>
            <w:r>
              <w:rPr>
                <w:rFonts w:ascii="Calibri" w:hAnsi="Calibri"/>
                <w:color w:val="282828"/>
                <w:sz w:val="19"/>
              </w:rPr>
              <w:t>issue</w:t>
            </w:r>
          </w:p>
        </w:tc>
        <w:tc>
          <w:tcPr>
            <w:tcW w:type="dxa" w:w="2340"/>
            <w:shd w:fill="F4F7F9"/>
            <w:tcMar>
              <w:top w:w="80" w:type="dxa"/>
              <w:bottom w:w="80" w:type="dxa"/>
              <w:left w:w="120" w:type="dxa"/>
              <w:right w:w="120" w:type="dxa"/>
            </w:tcMar>
          </w:tcPr>
          <w:p>
            <w:r>
              <w:rPr>
                <w:rFonts w:ascii="Calibri" w:hAnsi="Calibri"/>
                <w:color w:val="282828"/>
                <w:sz w:val="19"/>
              </w:rPr>
              <w:t>Bound Action (Invoices)</w:t>
            </w:r>
          </w:p>
        </w:tc>
        <w:tc>
          <w:tcPr>
            <w:tcW w:type="dxa" w:w="2340"/>
            <w:shd w:fill="F4F7F9"/>
            <w:tcMar>
              <w:top w:w="80" w:type="dxa"/>
              <w:bottom w:w="80" w:type="dxa"/>
              <w:left w:w="120" w:type="dxa"/>
              <w:right w:w="120" w:type="dxa"/>
            </w:tcMar>
          </w:tcPr>
          <w:p>
            <w:r>
              <w:rPr>
                <w:rFonts w:ascii="Calibri" w:hAnsi="Calibri"/>
                <w:color w:val="282828"/>
                <w:sz w:val="19"/>
              </w:rPr>
              <w:t>None (Context bound to Invoice ID)</w:t>
            </w:r>
          </w:p>
        </w:tc>
        <w:tc>
          <w:tcPr>
            <w:tcW w:type="dxa" w:w="2340"/>
            <w:shd w:fill="F4F7F9"/>
            <w:tcMar>
              <w:top w:w="80" w:type="dxa"/>
              <w:bottom w:w="80" w:type="dxa"/>
              <w:left w:w="120" w:type="dxa"/>
              <w:right w:w="120" w:type="dxa"/>
            </w:tcMar>
          </w:tcPr>
          <w:p>
            <w:r>
              <w:rPr>
                <w:rFonts w:ascii="Calibri" w:hAnsi="Calibri"/>
                <w:color w:val="282828"/>
                <w:sz w:val="19"/>
              </w:rPr>
              <w:t>Requires status='Draft' and paymentStatus='Draft'. Transitions status='Sent', paymentStatus='Issued'.</w:t>
            </w:r>
          </w:p>
        </w:tc>
      </w:tr>
      <w:tr>
        <w:trPr>
          <w:cantSplit/>
        </w:trPr>
        <w:tc>
          <w:tcPr>
            <w:tcW w:type="dxa" w:w="2340"/>
            <w:shd w:fill="FFFFFF"/>
            <w:tcMar>
              <w:top w:w="80" w:type="dxa"/>
              <w:bottom w:w="80" w:type="dxa"/>
              <w:left w:w="120" w:type="dxa"/>
              <w:right w:w="120" w:type="dxa"/>
            </w:tcMar>
          </w:tcPr>
          <w:p>
            <w:r>
              <w:rPr>
                <w:rFonts w:ascii="Calibri" w:hAnsi="Calibri"/>
                <w:color w:val="282828"/>
                <w:sz w:val="19"/>
              </w:rPr>
              <w:t>markPaid</w:t>
            </w:r>
          </w:p>
        </w:tc>
        <w:tc>
          <w:tcPr>
            <w:tcW w:type="dxa" w:w="2340"/>
            <w:shd w:fill="FFFFFF"/>
            <w:tcMar>
              <w:top w:w="80" w:type="dxa"/>
              <w:bottom w:w="80" w:type="dxa"/>
              <w:left w:w="120" w:type="dxa"/>
              <w:right w:w="120" w:type="dxa"/>
            </w:tcMar>
          </w:tcPr>
          <w:p>
            <w:r>
              <w:rPr>
                <w:rFonts w:ascii="Calibri" w:hAnsi="Calibri"/>
                <w:color w:val="282828"/>
                <w:sz w:val="19"/>
              </w:rPr>
              <w:t>Bound Action (Invoices)</w:t>
            </w:r>
          </w:p>
        </w:tc>
        <w:tc>
          <w:tcPr>
            <w:tcW w:type="dxa" w:w="2340"/>
            <w:shd w:fill="FFFFFF"/>
            <w:tcMar>
              <w:top w:w="80" w:type="dxa"/>
              <w:bottom w:w="80" w:type="dxa"/>
              <w:left w:w="120" w:type="dxa"/>
              <w:right w:w="120" w:type="dxa"/>
            </w:tcMar>
          </w:tcPr>
          <w:p>
            <w:r>
              <w:rPr>
                <w:rFonts w:ascii="Calibri" w:hAnsi="Calibri"/>
                <w:color w:val="282828"/>
                <w:sz w:val="19"/>
              </w:rPr>
              <w:t>None (Context bound to Invoice ID)</w:t>
            </w:r>
          </w:p>
        </w:tc>
        <w:tc>
          <w:tcPr>
            <w:tcW w:type="dxa" w:w="2340"/>
            <w:shd w:fill="FFFFFF"/>
            <w:tcMar>
              <w:top w:w="80" w:type="dxa"/>
              <w:bottom w:w="80" w:type="dxa"/>
              <w:left w:w="120" w:type="dxa"/>
              <w:right w:w="120" w:type="dxa"/>
            </w:tcMar>
          </w:tcPr>
          <w:p>
            <w:r>
              <w:rPr>
                <w:rFonts w:ascii="Calibri" w:hAnsi="Calibri"/>
                <w:color w:val="282828"/>
                <w:sz w:val="19"/>
              </w:rPr>
              <w:t>Requires paymentStatus='Issued' or status in ('Sent','Issued'). Transitions status='Paid', paymentStatus='Paid'.</w:t>
            </w:r>
          </w:p>
        </w:tc>
      </w:tr>
      <w:tr>
        <w:trPr>
          <w:cantSplit/>
        </w:trPr>
        <w:tc>
          <w:tcPr>
            <w:tcW w:type="dxa" w:w="2340"/>
            <w:shd w:fill="F4F7F9"/>
            <w:tcMar>
              <w:top w:w="80" w:type="dxa"/>
              <w:bottom w:w="80" w:type="dxa"/>
              <w:left w:w="120" w:type="dxa"/>
              <w:right w:w="120" w:type="dxa"/>
            </w:tcMar>
          </w:tcPr>
          <w:p>
            <w:r>
              <w:rPr>
                <w:rFonts w:ascii="Calibri" w:hAnsi="Calibri"/>
                <w:color w:val="282828"/>
                <w:sz w:val="19"/>
              </w:rPr>
              <w:t>submitTimesheet</w:t>
            </w:r>
          </w:p>
        </w:tc>
        <w:tc>
          <w:tcPr>
            <w:tcW w:type="dxa" w:w="2340"/>
            <w:shd w:fill="F4F7F9"/>
            <w:tcMar>
              <w:top w:w="80" w:type="dxa"/>
              <w:bottom w:w="80" w:type="dxa"/>
              <w:left w:w="120" w:type="dxa"/>
              <w:right w:w="120" w:type="dxa"/>
            </w:tcMar>
          </w:tcPr>
          <w:p>
            <w:r>
              <w:rPr>
                <w:rFonts w:ascii="Calibri" w:hAnsi="Calibri"/>
                <w:color w:val="282828"/>
                <w:sz w:val="19"/>
              </w:rPr>
              <w:t>Bound Action (Timesheets)</w:t>
            </w:r>
          </w:p>
        </w:tc>
        <w:tc>
          <w:tcPr>
            <w:tcW w:type="dxa" w:w="2340"/>
            <w:shd w:fill="F4F7F9"/>
            <w:tcMar>
              <w:top w:w="80" w:type="dxa"/>
              <w:bottom w:w="80" w:type="dxa"/>
              <w:left w:w="120" w:type="dxa"/>
              <w:right w:w="120" w:type="dxa"/>
            </w:tcMar>
          </w:tcPr>
          <w:p>
            <w:r>
              <w:rPr>
                <w:rFonts w:ascii="Calibri" w:hAnsi="Calibri"/>
                <w:color w:val="282828"/>
                <w:sz w:val="19"/>
              </w:rPr>
              <w:t>None (Context bound to Timesheet ID)</w:t>
            </w:r>
          </w:p>
        </w:tc>
        <w:tc>
          <w:tcPr>
            <w:tcW w:type="dxa" w:w="2340"/>
            <w:shd w:fill="F4F7F9"/>
            <w:tcMar>
              <w:top w:w="80" w:type="dxa"/>
              <w:bottom w:w="80" w:type="dxa"/>
              <w:left w:w="120" w:type="dxa"/>
              <w:right w:w="120" w:type="dxa"/>
            </w:tcMar>
          </w:tcPr>
          <w:p>
            <w:r>
              <w:rPr>
                <w:rFonts w:ascii="Calibri" w:hAnsi="Calibri"/>
                <w:color w:val="282828"/>
                <w:sz w:val="19"/>
              </w:rPr>
              <w:t>Requires status in ('Draft','Rejected'). Sets status='Submitted', populates submittedDate.</w:t>
            </w:r>
          </w:p>
        </w:tc>
      </w:tr>
      <w:tr>
        <w:trPr>
          <w:cantSplit/>
        </w:trPr>
        <w:tc>
          <w:tcPr>
            <w:tcW w:type="dxa" w:w="2340"/>
            <w:shd w:fill="FFFFFF"/>
            <w:tcMar>
              <w:top w:w="80" w:type="dxa"/>
              <w:bottom w:w="80" w:type="dxa"/>
              <w:left w:w="120" w:type="dxa"/>
              <w:right w:w="120" w:type="dxa"/>
            </w:tcMar>
          </w:tcPr>
          <w:p>
            <w:r>
              <w:rPr>
                <w:rFonts w:ascii="Calibri" w:hAnsi="Calibri"/>
                <w:color w:val="282828"/>
                <w:sz w:val="19"/>
              </w:rPr>
              <w:t>approveTimesheet</w:t>
            </w:r>
          </w:p>
        </w:tc>
        <w:tc>
          <w:tcPr>
            <w:tcW w:type="dxa" w:w="2340"/>
            <w:shd w:fill="FFFFFF"/>
            <w:tcMar>
              <w:top w:w="80" w:type="dxa"/>
              <w:bottom w:w="80" w:type="dxa"/>
              <w:left w:w="120" w:type="dxa"/>
              <w:right w:w="120" w:type="dxa"/>
            </w:tcMar>
          </w:tcPr>
          <w:p>
            <w:r>
              <w:rPr>
                <w:rFonts w:ascii="Calibri" w:hAnsi="Calibri"/>
                <w:color w:val="282828"/>
                <w:sz w:val="19"/>
              </w:rPr>
              <w:t>Bound Action (Timesheets)</w:t>
            </w:r>
          </w:p>
        </w:tc>
        <w:tc>
          <w:tcPr>
            <w:tcW w:type="dxa" w:w="2340"/>
            <w:shd w:fill="FFFFFF"/>
            <w:tcMar>
              <w:top w:w="80" w:type="dxa"/>
              <w:bottom w:w="80" w:type="dxa"/>
              <w:left w:w="120" w:type="dxa"/>
              <w:right w:w="120" w:type="dxa"/>
            </w:tcMar>
          </w:tcPr>
          <w:p>
            <w:r>
              <w:rPr>
                <w:rFonts w:ascii="Calibri" w:hAnsi="Calibri"/>
                <w:color w:val="282828"/>
                <w:sz w:val="19"/>
              </w:rPr>
              <w:t>None (Context bound to Timesheet ID)</w:t>
            </w:r>
          </w:p>
        </w:tc>
        <w:tc>
          <w:tcPr>
            <w:tcW w:type="dxa" w:w="2340"/>
            <w:shd w:fill="FFFFFF"/>
            <w:tcMar>
              <w:top w:w="80" w:type="dxa"/>
              <w:bottom w:w="80" w:type="dxa"/>
              <w:left w:w="120" w:type="dxa"/>
              <w:right w:w="120" w:type="dxa"/>
            </w:tcMar>
          </w:tcPr>
          <w:p>
            <w:r>
              <w:rPr>
                <w:rFonts w:ascii="Calibri" w:hAnsi="Calibri"/>
                <w:color w:val="282828"/>
                <w:sz w:val="19"/>
              </w:rPr>
              <w:t>Requires status='Submitted'. Sets status='Approved', approvedDate=now(). Updates task actual hours.</w:t>
            </w:r>
          </w:p>
        </w:tc>
      </w:tr>
      <w:tr>
        <w:trPr>
          <w:cantSplit/>
        </w:trPr>
        <w:tc>
          <w:tcPr>
            <w:tcW w:type="dxa" w:w="2340"/>
            <w:shd w:fill="F4F7F9"/>
            <w:tcMar>
              <w:top w:w="80" w:type="dxa"/>
              <w:bottom w:w="80" w:type="dxa"/>
              <w:left w:w="120" w:type="dxa"/>
              <w:right w:w="120" w:type="dxa"/>
            </w:tcMar>
          </w:tcPr>
          <w:p>
            <w:r>
              <w:rPr>
                <w:rFonts w:ascii="Calibri" w:hAnsi="Calibri"/>
                <w:color w:val="282828"/>
                <w:sz w:val="19"/>
              </w:rPr>
              <w:t>rejectTimesheet</w:t>
            </w:r>
          </w:p>
        </w:tc>
        <w:tc>
          <w:tcPr>
            <w:tcW w:type="dxa" w:w="2340"/>
            <w:shd w:fill="F4F7F9"/>
            <w:tcMar>
              <w:top w:w="80" w:type="dxa"/>
              <w:bottom w:w="80" w:type="dxa"/>
              <w:left w:w="120" w:type="dxa"/>
              <w:right w:w="120" w:type="dxa"/>
            </w:tcMar>
          </w:tcPr>
          <w:p>
            <w:r>
              <w:rPr>
                <w:rFonts w:ascii="Calibri" w:hAnsi="Calibri"/>
                <w:color w:val="282828"/>
                <w:sz w:val="19"/>
              </w:rPr>
              <w:t>Bound Action (Timesheets)</w:t>
            </w:r>
          </w:p>
        </w:tc>
        <w:tc>
          <w:tcPr>
            <w:tcW w:type="dxa" w:w="2340"/>
            <w:shd w:fill="F4F7F9"/>
            <w:tcMar>
              <w:top w:w="80" w:type="dxa"/>
              <w:bottom w:w="80" w:type="dxa"/>
              <w:left w:w="120" w:type="dxa"/>
              <w:right w:w="120" w:type="dxa"/>
            </w:tcMar>
          </w:tcPr>
          <w:p>
            <w:r>
              <w:rPr>
                <w:rFonts w:ascii="Calibri" w:hAnsi="Calibri"/>
                <w:color w:val="282828"/>
                <w:sz w:val="19"/>
              </w:rPr>
              <w:t>reason: String (Mandatory)</w:t>
            </w:r>
          </w:p>
        </w:tc>
        <w:tc>
          <w:tcPr>
            <w:tcW w:type="dxa" w:w="2340"/>
            <w:shd w:fill="F4F7F9"/>
            <w:tcMar>
              <w:top w:w="80" w:type="dxa"/>
              <w:bottom w:w="80" w:type="dxa"/>
              <w:left w:w="120" w:type="dxa"/>
              <w:right w:w="120" w:type="dxa"/>
            </w:tcMar>
          </w:tcPr>
          <w:p>
            <w:r>
              <w:rPr>
                <w:rFonts w:ascii="Calibri" w:hAnsi="Calibri"/>
                <w:color w:val="282828"/>
                <w:sz w:val="19"/>
              </w:rPr>
              <w:t>Requires status='Submitted'. Sets status='Rejected', records rejectionReason.</w:t>
            </w:r>
          </w:p>
        </w:tc>
      </w:tr>
      <w:tr>
        <w:trPr>
          <w:cantSplit/>
        </w:trPr>
        <w:tc>
          <w:tcPr>
            <w:tcW w:type="dxa" w:w="2340"/>
            <w:shd w:fill="FFFFFF"/>
            <w:tcMar>
              <w:top w:w="80" w:type="dxa"/>
              <w:bottom w:w="80" w:type="dxa"/>
              <w:left w:w="120" w:type="dxa"/>
              <w:right w:w="120" w:type="dxa"/>
            </w:tcMar>
          </w:tcPr>
          <w:p>
            <w:r>
              <w:rPr>
                <w:rFonts w:ascii="Calibri" w:hAnsi="Calibri"/>
                <w:color w:val="282828"/>
                <w:sz w:val="19"/>
              </w:rPr>
              <w:t>getBurnSummary</w:t>
            </w:r>
          </w:p>
        </w:tc>
        <w:tc>
          <w:tcPr>
            <w:tcW w:type="dxa" w:w="2340"/>
            <w:shd w:fill="FFFFFF"/>
            <w:tcMar>
              <w:top w:w="80" w:type="dxa"/>
              <w:bottom w:w="80" w:type="dxa"/>
              <w:left w:w="120" w:type="dxa"/>
              <w:right w:w="120" w:type="dxa"/>
            </w:tcMar>
          </w:tcPr>
          <w:p>
            <w:r>
              <w:rPr>
                <w:rFonts w:ascii="Calibri" w:hAnsi="Calibri"/>
                <w:color w:val="282828"/>
                <w:sz w:val="19"/>
              </w:rPr>
              <w:t>Unbound Function</w:t>
            </w:r>
          </w:p>
        </w:tc>
        <w:tc>
          <w:tcPr>
            <w:tcW w:type="dxa" w:w="2340"/>
            <w:shd w:fill="FFFFFF"/>
            <w:tcMar>
              <w:top w:w="80" w:type="dxa"/>
              <w:bottom w:w="80" w:type="dxa"/>
              <w:left w:w="120" w:type="dxa"/>
              <w:right w:w="120" w:type="dxa"/>
            </w:tcMar>
          </w:tcPr>
          <w:p>
            <w:r>
              <w:rPr>
                <w:rFonts w:ascii="Calibri" w:hAnsi="Calibri"/>
                <w:color w:val="282828"/>
                <w:sz w:val="19"/>
              </w:rPr>
              <w:t>projectID: UUID</w:t>
            </w:r>
          </w:p>
        </w:tc>
        <w:tc>
          <w:tcPr>
            <w:tcW w:type="dxa" w:w="2340"/>
            <w:shd w:fill="FFFFFF"/>
            <w:tcMar>
              <w:top w:w="80" w:type="dxa"/>
              <w:bottom w:w="80" w:type="dxa"/>
              <w:left w:w="120" w:type="dxa"/>
              <w:right w:w="120" w:type="dxa"/>
            </w:tcMar>
          </w:tcPr>
          <w:p>
            <w:r>
              <w:rPr>
                <w:rFonts w:ascii="Calibri" w:hAnsi="Calibri"/>
                <w:color w:val="282828"/>
                <w:sz w:val="19"/>
              </w:rPr>
              <w:t>Returns JSON object: { totalBudget, spent, remaining, burnRatePct }.</w:t>
            </w:r>
          </w:p>
        </w:tc>
      </w:tr>
    </w:tbl>
    <w:p>
      <w:pPr>
        <w:pStyle w:val="Heading1"/>
        <w:keepNext/>
        <w:spacing w:before="320" w:after="120"/>
      </w:pPr>
      <w:r>
        <w:rPr>
          <w:rFonts w:ascii="Calibri Light" w:hAnsi="Calibri Light"/>
          <w:b/>
          <w:color w:val="1B365D"/>
          <w:sz w:val="36"/>
        </w:rPr>
        <w:t>10. End-to-End Business Workflows &amp; Traceability</w:t>
      </w:r>
    </w:p>
    <w:p>
      <w:r>
        <w:t>The system enforces strict end-to-end data traceability across four core operational workflows:</w:t>
      </w:r>
    </w:p>
    <w:p>
      <w:pPr>
        <w:pStyle w:val="Heading2"/>
      </w:pPr>
      <w:r>
        <w:t>Workflow 1: Timesheet Creation to Invoice Realization</w:t>
      </w:r>
    </w:p>
    <w:p>
      <w:r>
        <w:t>1. Employee logs daily work hours against specific project tasks (billable flag active).</w:t>
        <w:br/>
        <w:t>2. Employee submits the weekly timesheet (submitTimesheet action). Status transitions from Draft to Submitted.</w:t>
        <w:br/>
        <w:t>3. Manager reviews submitted entries in the Manager Dashboard and executes approveTimesheet.</w:t>
        <w:br/>
        <w:t>4. System automatically increments Tasks.actualHours and recalculates the project's Budgets.spentAmount.</w:t>
        <w:br/>
        <w:t>5. Project Manager or Finance Officer triggers Projects.generateInvoice(). The backend aggregates all approved, unbilled entries, multiplies hours by employee hourly rates, adds 18% tax, creates an Invoice in 'Draft' status, and marks timesheets as 'Invoiced'.</w:t>
        <w:br/>
        <w:t>6. Finance reviews the invoice and calls Invoices.issue() (transitions to Sent / Issued).</w:t>
        <w:br/>
        <w:t>7. Client settles payment; Finance executes Invoices.markPaid() (transitions to Paid / Paid).</w:t>
      </w:r>
    </w:p>
    <w:p>
      <w:pPr>
        <w:pStyle w:val="Heading2"/>
      </w:pPr>
      <w:r>
        <w:t>Workflow 2: Timesheet Rejection and Resubmission Cycle</w:t>
      </w:r>
    </w:p>
    <w:p>
      <w:r>
        <w:t>1. Manager inspects a submitted timesheet with discrepancies and invokes rejectTimesheet(reason='Incorrect hours').</w:t>
        <w:br/>
        <w:t>2. Timesheet status transitions to 'Rejected' and the rejection reason is stored.</w:t>
        <w:br/>
        <w:t>3. Employee receives visual rejection notification in the Employee Dashboard, opens the record, reviews the manager's comment, and edits the timesheet dates or entry details.</w:t>
        <w:br/>
        <w:t>4. Employee re-submits the timesheet. Status resets to 'Submitted' and clears the previous rejection note.</w:t>
      </w:r>
    </w:p>
    <w:p>
      <w:pPr>
        <w:pStyle w:val="Heading1"/>
        <w:keepNext/>
        <w:spacing w:before="320" w:after="120"/>
      </w:pPr>
      <w:r>
        <w:rPr>
          <w:rFonts w:ascii="Calibri Light" w:hAnsi="Calibri Light"/>
          <w:b/>
          <w:color w:val="1B365D"/>
          <w:sz w:val="36"/>
        </w:rPr>
        <w:t>11. Lifecycle State Machine Reference</w:t>
      </w:r>
    </w:p>
    <w:p>
      <w:r>
        <w:t>Entity lifecycles are governed by deterministic finite state machines, preventing invalid state leaps: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B365D"/>
            <w:tcMar>
              <w:top w:w="120" w:type="dxa"/>
              <w:bottom w:w="120" w:type="dxa"/>
              <w:left w:w="140" w:type="dxa"/>
              <w:right w:w="140" w:type="dxa"/>
            </w:tcMar>
          </w:tcPr>
          <w:p>
            <w:pPr>
              <w:jc w:val="center"/>
            </w:pPr>
            <w:r>
              <w:rPr>
                <w:rFonts w:ascii="Calibri" w:hAnsi="Calibri"/>
                <w:b/>
                <w:color w:val="FFFFFF"/>
                <w:sz w:val="20"/>
              </w:rPr>
              <w:t>Lifecycle Domain</w:t>
            </w:r>
          </w:p>
        </w:tc>
        <w:tc>
          <w:tcPr>
            <w:tcW w:type="dxa" w:w="2340"/>
            <w:shd w:fill="1B365D"/>
            <w:tcMar>
              <w:top w:w="120" w:type="dxa"/>
              <w:bottom w:w="120" w:type="dxa"/>
              <w:left w:w="140" w:type="dxa"/>
              <w:right w:w="140" w:type="dxa"/>
            </w:tcMar>
          </w:tcPr>
          <w:p>
            <w:pPr>
              <w:jc w:val="center"/>
            </w:pPr>
            <w:r>
              <w:rPr>
                <w:rFonts w:ascii="Calibri" w:hAnsi="Calibri"/>
                <w:b/>
                <w:color w:val="FFFFFF"/>
                <w:sz w:val="20"/>
              </w:rPr>
              <w:t>State Value</w:t>
            </w:r>
          </w:p>
        </w:tc>
        <w:tc>
          <w:tcPr>
            <w:tcW w:type="dxa" w:w="2340"/>
            <w:shd w:fill="1B365D"/>
            <w:tcMar>
              <w:top w:w="120" w:type="dxa"/>
              <w:bottom w:w="120" w:type="dxa"/>
              <w:left w:w="140" w:type="dxa"/>
              <w:right w:w="140" w:type="dxa"/>
            </w:tcMar>
          </w:tcPr>
          <w:p>
            <w:pPr>
              <w:jc w:val="center"/>
            </w:pPr>
            <w:r>
              <w:rPr>
                <w:rFonts w:ascii="Calibri" w:hAnsi="Calibri"/>
                <w:b/>
                <w:color w:val="FFFFFF"/>
                <w:sz w:val="20"/>
              </w:rPr>
              <w:t>Preconditions / Allowed Transitions</w:t>
            </w:r>
          </w:p>
        </w:tc>
        <w:tc>
          <w:tcPr>
            <w:tcW w:type="dxa" w:w="2340"/>
            <w:shd w:fill="1B365D"/>
            <w:tcMar>
              <w:top w:w="120" w:type="dxa"/>
              <w:bottom w:w="120" w:type="dxa"/>
              <w:left w:w="140" w:type="dxa"/>
              <w:right w:w="140" w:type="dxa"/>
            </w:tcMar>
          </w:tcPr>
          <w:p>
            <w:pPr>
              <w:jc w:val="center"/>
            </w:pPr>
            <w:r>
              <w:rPr>
                <w:rFonts w:ascii="Calibri" w:hAnsi="Calibri"/>
                <w:b/>
                <w:color w:val="FFFFFF"/>
                <w:sz w:val="20"/>
              </w:rPr>
              <w:t>Terminal / Visual State</w:t>
            </w:r>
          </w:p>
        </w:tc>
      </w:tr>
      <w:tr>
        <w:trPr>
          <w:cantSplit/>
        </w:trPr>
        <w:tc>
          <w:tcPr>
            <w:tcW w:type="dxa" w:w="2340"/>
            <w:shd w:fill="FFFFFF"/>
            <w:tcMar>
              <w:top w:w="80" w:type="dxa"/>
              <w:bottom w:w="80" w:type="dxa"/>
              <w:left w:w="120" w:type="dxa"/>
              <w:right w:w="120" w:type="dxa"/>
            </w:tcMar>
          </w:tcPr>
          <w:p>
            <w:r>
              <w:rPr>
                <w:rFonts w:ascii="Calibri" w:hAnsi="Calibri"/>
                <w:color w:val="282828"/>
                <w:sz w:val="19"/>
              </w:rPr>
              <w:t>Timesheets</w:t>
            </w:r>
          </w:p>
        </w:tc>
        <w:tc>
          <w:tcPr>
            <w:tcW w:type="dxa" w:w="2340"/>
            <w:shd w:fill="FFFFFF"/>
            <w:tcMar>
              <w:top w:w="80" w:type="dxa"/>
              <w:bottom w:w="80" w:type="dxa"/>
              <w:left w:w="120" w:type="dxa"/>
              <w:right w:w="120" w:type="dxa"/>
            </w:tcMar>
          </w:tcPr>
          <w:p>
            <w:r>
              <w:rPr>
                <w:rFonts w:ascii="Calibri" w:hAnsi="Calibri"/>
                <w:color w:val="282828"/>
                <w:sz w:val="19"/>
              </w:rPr>
              <w:t>Draft</w:t>
            </w:r>
          </w:p>
        </w:tc>
        <w:tc>
          <w:tcPr>
            <w:tcW w:type="dxa" w:w="2340"/>
            <w:shd w:fill="FFFFFF"/>
            <w:tcMar>
              <w:top w:w="80" w:type="dxa"/>
              <w:bottom w:w="80" w:type="dxa"/>
              <w:left w:w="120" w:type="dxa"/>
              <w:right w:w="120" w:type="dxa"/>
            </w:tcMar>
          </w:tcPr>
          <w:p>
            <w:r>
              <w:rPr>
                <w:rFonts w:ascii="Calibri" w:hAnsi="Calibri"/>
                <w:color w:val="282828"/>
                <w:sz w:val="19"/>
              </w:rPr>
              <w:t>Created by employee; editable. Can transition only to 'Submitted'.</w:t>
            </w:r>
          </w:p>
        </w:tc>
        <w:tc>
          <w:tcPr>
            <w:tcW w:type="dxa" w:w="2340"/>
            <w:shd w:fill="FFFFFF"/>
            <w:tcMar>
              <w:top w:w="80" w:type="dxa"/>
              <w:bottom w:w="80" w:type="dxa"/>
              <w:left w:w="120" w:type="dxa"/>
              <w:right w:w="120" w:type="dxa"/>
            </w:tcMar>
          </w:tcPr>
          <w:p>
            <w:r>
              <w:rPr>
                <w:rFonts w:ascii="Calibri" w:hAnsi="Calibri"/>
                <w:color w:val="282828"/>
                <w:sz w:val="19"/>
              </w:rPr>
              <w:t>Neutral</w:t>
            </w:r>
          </w:p>
        </w:tc>
      </w:tr>
      <w:tr>
        <w:trPr>
          <w:cantSplit/>
        </w:trPr>
        <w:tc>
          <w:tcPr>
            <w:tcW w:type="dxa" w:w="2340"/>
            <w:shd w:fill="F4F7F9"/>
            <w:tcMar>
              <w:top w:w="80" w:type="dxa"/>
              <w:bottom w:w="80" w:type="dxa"/>
              <w:left w:w="120" w:type="dxa"/>
              <w:right w:w="120" w:type="dxa"/>
            </w:tcMar>
          </w:tcPr>
          <w:p>
            <w:r>
              <w:rPr>
                <w:rFonts w:ascii="Calibri" w:hAnsi="Calibri"/>
                <w:color w:val="282828"/>
                <w:sz w:val="19"/>
              </w:rPr>
              <w:t>Timesheets</w:t>
            </w:r>
          </w:p>
        </w:tc>
        <w:tc>
          <w:tcPr>
            <w:tcW w:type="dxa" w:w="2340"/>
            <w:shd w:fill="F4F7F9"/>
            <w:tcMar>
              <w:top w:w="80" w:type="dxa"/>
              <w:bottom w:w="80" w:type="dxa"/>
              <w:left w:w="120" w:type="dxa"/>
              <w:right w:w="120" w:type="dxa"/>
            </w:tcMar>
          </w:tcPr>
          <w:p>
            <w:r>
              <w:rPr>
                <w:rFonts w:ascii="Calibri" w:hAnsi="Calibri"/>
                <w:color w:val="282828"/>
                <w:sz w:val="19"/>
              </w:rPr>
              <w:t>Submitted</w:t>
            </w:r>
          </w:p>
        </w:tc>
        <w:tc>
          <w:tcPr>
            <w:tcW w:type="dxa" w:w="2340"/>
            <w:shd w:fill="F4F7F9"/>
            <w:tcMar>
              <w:top w:w="80" w:type="dxa"/>
              <w:bottom w:w="80" w:type="dxa"/>
              <w:left w:w="120" w:type="dxa"/>
              <w:right w:w="120" w:type="dxa"/>
            </w:tcMar>
          </w:tcPr>
          <w:p>
            <w:r>
              <w:rPr>
                <w:rFonts w:ascii="Calibri" w:hAnsi="Calibri"/>
                <w:color w:val="282828"/>
                <w:sz w:val="19"/>
              </w:rPr>
              <w:t>Submitted by employee; locked. Transitions to 'Approved' or 'Rejected'.</w:t>
            </w:r>
          </w:p>
        </w:tc>
        <w:tc>
          <w:tcPr>
            <w:tcW w:type="dxa" w:w="2340"/>
            <w:shd w:fill="F4F7F9"/>
            <w:tcMar>
              <w:top w:w="80" w:type="dxa"/>
              <w:bottom w:w="80" w:type="dxa"/>
              <w:left w:w="120" w:type="dxa"/>
              <w:right w:w="120" w:type="dxa"/>
            </w:tcMar>
          </w:tcPr>
          <w:p>
            <w:r>
              <w:rPr>
                <w:rFonts w:ascii="Calibri" w:hAnsi="Calibri"/>
                <w:color w:val="282828"/>
                <w:sz w:val="19"/>
              </w:rPr>
              <w:t>Warning (Orange)</w:t>
            </w:r>
          </w:p>
        </w:tc>
      </w:tr>
      <w:tr>
        <w:trPr>
          <w:cantSplit/>
        </w:trPr>
        <w:tc>
          <w:tcPr>
            <w:tcW w:type="dxa" w:w="2340"/>
            <w:shd w:fill="FFFFFF"/>
            <w:tcMar>
              <w:top w:w="80" w:type="dxa"/>
              <w:bottom w:w="80" w:type="dxa"/>
              <w:left w:w="120" w:type="dxa"/>
              <w:right w:w="120" w:type="dxa"/>
            </w:tcMar>
          </w:tcPr>
          <w:p>
            <w:r>
              <w:rPr>
                <w:rFonts w:ascii="Calibri" w:hAnsi="Calibri"/>
                <w:color w:val="282828"/>
                <w:sz w:val="19"/>
              </w:rPr>
              <w:t>Timesheets</w:t>
            </w:r>
          </w:p>
        </w:tc>
        <w:tc>
          <w:tcPr>
            <w:tcW w:type="dxa" w:w="2340"/>
            <w:shd w:fill="FFFFFF"/>
            <w:tcMar>
              <w:top w:w="80" w:type="dxa"/>
              <w:bottom w:w="80" w:type="dxa"/>
              <w:left w:w="120" w:type="dxa"/>
              <w:right w:w="120" w:type="dxa"/>
            </w:tcMar>
          </w:tcPr>
          <w:p>
            <w:r>
              <w:rPr>
                <w:rFonts w:ascii="Calibri" w:hAnsi="Calibri"/>
                <w:color w:val="282828"/>
                <w:sz w:val="19"/>
              </w:rPr>
              <w:t>Approved</w:t>
            </w:r>
          </w:p>
        </w:tc>
        <w:tc>
          <w:tcPr>
            <w:tcW w:type="dxa" w:w="2340"/>
            <w:shd w:fill="FFFFFF"/>
            <w:tcMar>
              <w:top w:w="80" w:type="dxa"/>
              <w:bottom w:w="80" w:type="dxa"/>
              <w:left w:w="120" w:type="dxa"/>
              <w:right w:w="120" w:type="dxa"/>
            </w:tcMar>
          </w:tcPr>
          <w:p>
            <w:r>
              <w:rPr>
                <w:rFonts w:ascii="Calibri" w:hAnsi="Calibri"/>
                <w:color w:val="282828"/>
                <w:sz w:val="19"/>
              </w:rPr>
              <w:t>Approved by manager; locked. Transitions to 'Invoiced' upon billing.</w:t>
            </w:r>
          </w:p>
        </w:tc>
        <w:tc>
          <w:tcPr>
            <w:tcW w:type="dxa" w:w="2340"/>
            <w:shd w:fill="FFFFFF"/>
            <w:tcMar>
              <w:top w:w="80" w:type="dxa"/>
              <w:bottom w:w="80" w:type="dxa"/>
              <w:left w:w="120" w:type="dxa"/>
              <w:right w:w="120" w:type="dxa"/>
            </w:tcMar>
          </w:tcPr>
          <w:p>
            <w:r>
              <w:rPr>
                <w:rFonts w:ascii="Calibri" w:hAnsi="Calibri"/>
                <w:color w:val="282828"/>
                <w:sz w:val="19"/>
              </w:rPr>
              <w:t>Success (Green)</w:t>
            </w:r>
          </w:p>
        </w:tc>
      </w:tr>
      <w:tr>
        <w:trPr>
          <w:cantSplit/>
        </w:trPr>
        <w:tc>
          <w:tcPr>
            <w:tcW w:type="dxa" w:w="2340"/>
            <w:shd w:fill="F4F7F9"/>
            <w:tcMar>
              <w:top w:w="80" w:type="dxa"/>
              <w:bottom w:w="80" w:type="dxa"/>
              <w:left w:w="120" w:type="dxa"/>
              <w:right w:w="120" w:type="dxa"/>
            </w:tcMar>
          </w:tcPr>
          <w:p>
            <w:r>
              <w:rPr>
                <w:rFonts w:ascii="Calibri" w:hAnsi="Calibri"/>
                <w:color w:val="282828"/>
                <w:sz w:val="19"/>
              </w:rPr>
              <w:t>Timesheets</w:t>
            </w:r>
          </w:p>
        </w:tc>
        <w:tc>
          <w:tcPr>
            <w:tcW w:type="dxa" w:w="2340"/>
            <w:shd w:fill="F4F7F9"/>
            <w:tcMar>
              <w:top w:w="80" w:type="dxa"/>
              <w:bottom w:w="80" w:type="dxa"/>
              <w:left w:w="120" w:type="dxa"/>
              <w:right w:w="120" w:type="dxa"/>
            </w:tcMar>
          </w:tcPr>
          <w:p>
            <w:r>
              <w:rPr>
                <w:rFonts w:ascii="Calibri" w:hAnsi="Calibri"/>
                <w:color w:val="282828"/>
                <w:sz w:val="19"/>
              </w:rPr>
              <w:t>Rejected</w:t>
            </w:r>
          </w:p>
        </w:tc>
        <w:tc>
          <w:tcPr>
            <w:tcW w:type="dxa" w:w="2340"/>
            <w:shd w:fill="F4F7F9"/>
            <w:tcMar>
              <w:top w:w="80" w:type="dxa"/>
              <w:bottom w:w="80" w:type="dxa"/>
              <w:left w:w="120" w:type="dxa"/>
              <w:right w:w="120" w:type="dxa"/>
            </w:tcMar>
          </w:tcPr>
          <w:p>
            <w:r>
              <w:rPr>
                <w:rFonts w:ascii="Calibri" w:hAnsi="Calibri"/>
                <w:color w:val="282828"/>
                <w:sz w:val="19"/>
              </w:rPr>
              <w:t>Rejected by manager; editable by employee. Transitions back to 'Submitted'.</w:t>
            </w:r>
          </w:p>
        </w:tc>
        <w:tc>
          <w:tcPr>
            <w:tcW w:type="dxa" w:w="2340"/>
            <w:shd w:fill="F4F7F9"/>
            <w:tcMar>
              <w:top w:w="80" w:type="dxa"/>
              <w:bottom w:w="80" w:type="dxa"/>
              <w:left w:w="120" w:type="dxa"/>
              <w:right w:w="120" w:type="dxa"/>
            </w:tcMar>
          </w:tcPr>
          <w:p>
            <w:r>
              <w:rPr>
                <w:rFonts w:ascii="Calibri" w:hAnsi="Calibri"/>
                <w:color w:val="282828"/>
                <w:sz w:val="19"/>
              </w:rPr>
              <w:t>Error (Red)</w:t>
            </w:r>
          </w:p>
        </w:tc>
      </w:tr>
      <w:tr>
        <w:trPr>
          <w:cantSplit/>
        </w:trPr>
        <w:tc>
          <w:tcPr>
            <w:tcW w:type="dxa" w:w="2340"/>
            <w:shd w:fill="FFFFFF"/>
            <w:tcMar>
              <w:top w:w="80" w:type="dxa"/>
              <w:bottom w:w="80" w:type="dxa"/>
              <w:left w:w="120" w:type="dxa"/>
              <w:right w:w="120" w:type="dxa"/>
            </w:tcMar>
          </w:tcPr>
          <w:p>
            <w:r>
              <w:rPr>
                <w:rFonts w:ascii="Calibri" w:hAnsi="Calibri"/>
                <w:color w:val="282828"/>
                <w:sz w:val="19"/>
              </w:rPr>
              <w:t>Timesheets</w:t>
            </w:r>
          </w:p>
        </w:tc>
        <w:tc>
          <w:tcPr>
            <w:tcW w:type="dxa" w:w="2340"/>
            <w:shd w:fill="FFFFFF"/>
            <w:tcMar>
              <w:top w:w="80" w:type="dxa"/>
              <w:bottom w:w="80" w:type="dxa"/>
              <w:left w:w="120" w:type="dxa"/>
              <w:right w:w="120" w:type="dxa"/>
            </w:tcMar>
          </w:tcPr>
          <w:p>
            <w:r>
              <w:rPr>
                <w:rFonts w:ascii="Calibri" w:hAnsi="Calibri"/>
                <w:color w:val="282828"/>
                <w:sz w:val="19"/>
              </w:rPr>
              <w:t>Invoiced</w:t>
            </w:r>
          </w:p>
        </w:tc>
        <w:tc>
          <w:tcPr>
            <w:tcW w:type="dxa" w:w="2340"/>
            <w:shd w:fill="FFFFFF"/>
            <w:tcMar>
              <w:top w:w="80" w:type="dxa"/>
              <w:bottom w:w="80" w:type="dxa"/>
              <w:left w:w="120" w:type="dxa"/>
              <w:right w:w="120" w:type="dxa"/>
            </w:tcMar>
          </w:tcPr>
          <w:p>
            <w:r>
              <w:rPr>
                <w:rFonts w:ascii="Calibri" w:hAnsi="Calibri"/>
                <w:color w:val="282828"/>
                <w:sz w:val="19"/>
              </w:rPr>
              <w:t>Final archived state; incorporated into client invoice. Immutable.</w:t>
            </w:r>
          </w:p>
        </w:tc>
        <w:tc>
          <w:tcPr>
            <w:tcW w:type="dxa" w:w="2340"/>
            <w:shd w:fill="FFFFFF"/>
            <w:tcMar>
              <w:top w:w="80" w:type="dxa"/>
              <w:bottom w:w="80" w:type="dxa"/>
              <w:left w:w="120" w:type="dxa"/>
              <w:right w:w="120" w:type="dxa"/>
            </w:tcMar>
          </w:tcPr>
          <w:p>
            <w:r>
              <w:rPr>
                <w:rFonts w:ascii="Calibri" w:hAnsi="Calibri"/>
                <w:color w:val="282828"/>
                <w:sz w:val="19"/>
              </w:rPr>
              <w:t>Information (Blue)</w:t>
            </w:r>
          </w:p>
        </w:tc>
      </w:tr>
    </w:tbl>
    <w:p>
      <w:pPr>
        <w:pStyle w:val="Heading1"/>
        <w:keepNext/>
        <w:spacing w:before="320" w:after="120"/>
      </w:pPr>
      <w:r>
        <w:rPr>
          <w:rFonts w:ascii="Calibri Light" w:hAnsi="Calibri Light"/>
          <w:b/>
          <w:color w:val="1B365D"/>
          <w:sz w:val="36"/>
        </w:rPr>
        <w:t>12. External Dependencies &amp; Libraries</w:t>
      </w:r>
    </w:p>
    <w:p>
      <w:r>
        <w:t>The project is engineered with lean dependencies, leveraging SAP core libraries to ensure enterprise supportability:</w:t>
      </w:r>
    </w:p>
    <w:p>
      <w:pPr>
        <w:pStyle w:val="ListBullet"/>
      </w:pPr>
      <w:r>
        <w:t>- @sap/cds: Core CAP runtime providing service definition, query engine, and OData V4 server.</w:t>
      </w:r>
    </w:p>
    <w:p>
      <w:pPr>
        <w:pStyle w:val="ListBullet"/>
      </w:pPr>
      <w:r>
        <w:t>- @cap-js/hana: High-performance native SAP HANA Cloud driver supporting HDI container deployments.</w:t>
      </w:r>
    </w:p>
    <w:p>
      <w:pPr>
        <w:pStyle w:val="ListBullet"/>
      </w:pPr>
      <w:r>
        <w:t>- express: Underlying HTTP web server utilized by the CAP Node.js runtime.</w:t>
      </w:r>
    </w:p>
    <w:p>
      <w:pPr>
        <w:pStyle w:val="ListBullet"/>
      </w:pPr>
      <w:r>
        <w:t>- SAPUI5 (v1.120+): Client-side presentation libraries (sap.m, sap.f, sap.ui.core, sap.ui.layout).</w:t>
      </w:r>
    </w:p>
    <w:p>
      <w:pPr>
        <w:pStyle w:val="Heading1"/>
        <w:keepNext/>
        <w:spacing w:before="320" w:after="120"/>
      </w:pPr>
      <w:r>
        <w:rPr>
          <w:rFonts w:ascii="Calibri Light" w:hAnsi="Calibri Light"/>
          <w:b/>
          <w:color w:val="1B365D"/>
          <w:sz w:val="36"/>
        </w:rPr>
        <w:t>13. Security Architecture &amp; Production Hardening Roadmap</w:t>
      </w:r>
    </w:p>
    <w:p>
      <w:r>
        <w:t>A rigorous technical audit of the current repository reveals that CatalogService currently operates without restrictive @requires or @restrict annotations, and mta.yaml lacks an XSUAA resource binding. In its current state, the application utilizes CAP's mock authentication in development.</w:t>
      </w:r>
    </w:p>
    <w:p>
      <w:r>
        <w:t>To elevate EnterprisePSA to production enterprise standards on SAP Business Technology Platform (BTP), the following three-step security remediation plan must be implemented:</w:t>
      </w:r>
    </w:p>
    <w:p>
      <w:pPr>
        <w:pStyle w:val="Heading2"/>
      </w:pPr>
      <w:r>
        <w:t>Step 1: Configure SAP Cloud Identity Services (XSUAA)</w:t>
      </w:r>
    </w:p>
    <w:p>
      <w:r>
        <w:t>Create an xs-security.json descriptor defining enterprise role templates: PSA.Admin, PSA.Manager, PSA.Employee, and PSA.Finance.</w:t>
      </w:r>
    </w:p>
    <w:p>
      <w:pPr>
        <w:pStyle w:val="Heading2"/>
      </w:pPr>
      <w:r>
        <w:t>Step 2: Apply Role Restrict Annotations in CDS</w:t>
      </w:r>
    </w:p>
    <w:p>
      <w:r>
        <w:t>Decorate CatalogService entities with CAP instance-level restrictions. For example, Employees should only have read/write access to timesheets where employee.email = $user, while Managers can only approve timesheets for their directReports.</w:t>
      </w:r>
    </w:p>
    <w:p>
      <w:pPr>
        <w:pStyle w:val="Heading2"/>
      </w:pPr>
      <w:r>
        <w:t>Step 3: Update MTA Resource Bindings</w:t>
      </w:r>
    </w:p>
    <w:p>
      <w:r>
        <w:t>Declare an xsuaa service resource in mta.yaml of type org.cloudfoundry.managed-service and bind it to enterprisepsa-srv.</w:t>
      </w:r>
    </w:p>
    <w:p>
      <w:pPr>
        <w:pStyle w:val="Heading1"/>
        <w:keepNext/>
        <w:spacing w:before="320" w:after="120"/>
      </w:pPr>
      <w:r>
        <w:rPr>
          <w:rFonts w:ascii="Calibri Light" w:hAnsi="Calibri Light"/>
          <w:b/>
          <w:color w:val="1B365D"/>
          <w:sz w:val="36"/>
        </w:rPr>
        <w:t>14. Deployment Architecture &amp; Cloud Foundry / MTA Configuration</w:t>
      </w:r>
    </w:p>
    <w:p>
      <w:r>
        <w:t>The multi-target application is defined in mta.yaml (ID: enterprisepsa, version: 1.0.0). The deployment model separates database deployment from runtime application execution:</w:t>
      </w:r>
    </w:p>
    <w:p>
      <w:pPr>
        <w:pStyle w:val="ListBullet"/>
      </w:pPr>
      <w:r>
        <w:t>- Module 'enterprisepsa-srv': Node.js CAP runtime deployed as a Cloud Foundry application.</w:t>
      </w:r>
    </w:p>
    <w:p>
      <w:pPr>
        <w:pStyle w:val="ListBullet"/>
      </w:pPr>
      <w:r>
        <w:t>- Module 'enterprisepsa-db-deployer': Automated deployer that connects to SAP HANA Cloud and executes HDI artifacts.</w:t>
      </w:r>
    </w:p>
    <w:p>
      <w:pPr>
        <w:pStyle w:val="ListBullet"/>
      </w:pPr>
      <w:r>
        <w:t>- Resource 'enterprisepsa-db': Managed HDI container service (com.sap.hana.hdi-container).</w:t>
      </w:r>
    </w:p>
    <w:p>
      <w:pPr>
        <w:pStyle w:val="Heading1"/>
        <w:keepNext/>
        <w:spacing w:before="320" w:after="120"/>
      </w:pPr>
      <w:r>
        <w:rPr>
          <w:rFonts w:ascii="Calibri Light" w:hAnsi="Calibri Light"/>
          <w:b/>
          <w:color w:val="1B365D"/>
          <w:sz w:val="36"/>
        </w:rPr>
        <w:t>15. End-to-End Data Flow: From User Click to HANA Column Store</w:t>
      </w:r>
    </w:p>
    <w:p>
      <w:r>
        <w:t>When a user performs an action in the frontend (such as approving a timesheet in the Manager Dashboard):</w:t>
      </w:r>
    </w:p>
    <w:p>
      <w:r>
        <w:t>1. The SAPUI5 controller issues an asynchronous HTTP POST to /odata/v4/catalog/Timesheets(ID)/approveTimesheet().</w:t>
        <w:br/>
        <w:t>2. The CAP OData V4 protocol adapter deserializes the request, performs schema validation, and routes it to srv/cat-service.js.</w:t>
        <w:br/>
        <w:t>3. The custom handler executes the validation logic (ensuring status === 'Submitted') within a managed database transaction.</w:t>
        <w:br/>
        <w:t>4. A SQL UPDATE statement is dispatched via @cap-js/hana over encrypted TLS to the SAP HANA HDI container.</w:t>
        <w:br/>
        <w:t>5. HANA updates the column-store table and writes transaction logs to persistence disk.</w:t>
        <w:br/>
        <w:t>6. CAP commits the transaction and returns HTTP 200 with the updated entity payload.</w:t>
        <w:br/>
        <w:t>7. The SAPUI5 OData V4 model refreshes the client binding, triggering UI re-rendering and updating dashboard KPI badges.</w:t>
      </w:r>
    </w:p>
    <w:p>
      <w:pPr>
        <w:pStyle w:val="Heading1"/>
        <w:keepNext/>
        <w:spacing w:before="320" w:after="120"/>
      </w:pPr>
      <w:r>
        <w:rPr>
          <w:rFonts w:ascii="Calibri Light" w:hAnsi="Calibri Light"/>
          <w:b/>
          <w:color w:val="1B365D"/>
          <w:sz w:val="36"/>
        </w:rPr>
        <w:t>16. Error Handling &amp; Validation Patterns</w:t>
      </w:r>
    </w:p>
    <w:p>
      <w:r>
        <w:t>The architecture implements defensive error handling at both service and UI tiers:</w:t>
      </w:r>
    </w:p>
    <w:p>
      <w:pPr>
        <w:pStyle w:val="ListBullet"/>
      </w:pPr>
      <w:r>
        <w:t>- Service Layer: Leverages req.error(400, 'Message') and req.reject() to guarantee transactional rollbacks.</w:t>
      </w:r>
    </w:p>
    <w:p>
      <w:pPr>
        <w:pStyle w:val="ListBullet"/>
      </w:pPr>
      <w:r>
        <w:t>- Status Precondition Checks: Prevents illegal state jumps (e.g. issuing an already paid invoice).</w:t>
      </w:r>
    </w:p>
    <w:p>
      <w:pPr>
        <w:pStyle w:val="ListBullet"/>
      </w:pPr>
      <w:r>
        <w:t>- Frontend UI Feedback: Integrates sap.m.MessageBox for critical error alerts and sap.m.MessageToast for lightweight confirmations.</w:t>
      </w:r>
    </w:p>
    <w:p>
      <w:pPr>
        <w:pStyle w:val="ListBullet"/>
      </w:pPr>
      <w:r>
        <w:t>- View Busy Indicators: All asynchronous controller operations bind sap.ui.core.BusyIndicator to prevent duplicate user submissions.</w:t>
      </w:r>
    </w:p>
    <w:p>
      <w:pPr>
        <w:pStyle w:val="Heading1"/>
        <w:keepNext/>
        <w:spacing w:before="320" w:after="120"/>
      </w:pPr>
      <w:r>
        <w:rPr>
          <w:rFonts w:ascii="Calibri Light" w:hAnsi="Calibri Light"/>
          <w:b/>
          <w:color w:val="1B365D"/>
          <w:sz w:val="36"/>
        </w:rPr>
        <w:t>17. KPI &amp; Analytics Engine Deep Dive</w:t>
      </w:r>
    </w:p>
    <w:p>
      <w:r>
        <w:t>Financial and operational KPIs are calculated through a blend of backend aggregation functions and dynamic client-side models:</w:t>
      </w:r>
    </w:p>
    <w:p>
      <w:pPr>
        <w:pStyle w:val="ListBullet"/>
      </w:pPr>
      <w:r>
        <w:t>- Total Invoiced: SUM(totalAmount) of all non-cancelled invoices.</w:t>
      </w:r>
    </w:p>
    <w:p>
      <w:pPr>
        <w:pStyle w:val="ListBullet"/>
      </w:pPr>
      <w:r>
        <w:t>- Total Paid: SUM(totalAmount) of all invoices where paymentStatus == 'Paid' or status == 'Paid'.</w:t>
      </w:r>
    </w:p>
    <w:p>
      <w:pPr>
        <w:pStyle w:val="ListBullet"/>
      </w:pPr>
      <w:r>
        <w:t>- Outstanding Balance: SUM(totalAmount) of all active invoices not yet settled.</w:t>
      </w:r>
    </w:p>
    <w:p>
      <w:pPr>
        <w:pStyle w:val="ListBullet"/>
      </w:pPr>
      <w:r>
        <w:t>- Budget Burn %: (spentAmount / totalAmount) * 100, dynamically updated upon timesheet approvals.</w:t>
      </w:r>
    </w:p>
    <w:p>
      <w:pPr>
        <w:pStyle w:val="ListBullet"/>
      </w:pPr>
      <w:r>
        <w:t>- Employee Utilization: Billable hours divided by standard weekly capacity (40 hrs).</w:t>
      </w:r>
    </w:p>
    <w:p>
      <w:pPr>
        <w:pStyle w:val="Heading1"/>
        <w:keepNext/>
        <w:spacing w:before="320" w:after="120"/>
      </w:pPr>
      <w:r>
        <w:rPr>
          <w:rFonts w:ascii="Calibri Light" w:hAnsi="Calibri Light"/>
          <w:b/>
          <w:color w:val="1B365D"/>
          <w:sz w:val="36"/>
        </w:rPr>
        <w:t>18. Key Implementation Highlights &amp; Code Reference</w:t>
      </w:r>
    </w:p>
    <w:p>
      <w:r>
        <w:t>Key implementation highlights demonstrating architectural excellence in srv/cat-service.js:</w:t>
      </w:r>
    </w:p>
    <w:p>
      <w:r>
        <w:rPr>
          <w:rFonts w:ascii="Consolas" w:hAnsi="Consolas"/>
          <w:sz w:val="17"/>
        </w:rPr>
        <w:t>// Invoice Generation Engine (Excerpt from srv/cat-service.js)</w:t>
        <w:br/>
        <w:t>this.on('generateInvoice', 'Projects', async (req) =&gt; {</w:t>
        <w:br/>
        <w:t xml:space="preserve">    const projectID = req.params[0].ID;</w:t>
        <w:br/>
        <w:t xml:space="preserve">    const project = await SELECT.one.from(Projects).where({ ID: projectID });</w:t>
        <w:br/>
        <w:t xml:space="preserve">    if (!project) return req.error(404, 'Project not found');</w:t>
        <w:br/>
        <w:br/>
        <w:t xml:space="preserve">    // Retrieve approved, unbilled timesheets</w:t>
        <w:br/>
        <w:t xml:space="preserve">    const timesheets = await SELECT.from(Timesheets)</w:t>
        <w:br/>
        <w:t xml:space="preserve">        .where({ status: 'Approved' })</w:t>
        <w:br/>
        <w:t xml:space="preserve">        .and({ employee_ID: { in: SELECT('employee_ID').from(Tasks).where({ milestone_ID: { in: SELECT('ID').from(Milestones).where({ project_ID: projectID }) } }) } });</w:t>
        <w:br/>
        <w:br/>
        <w:t xml:space="preserve">    let subtotal = 0;</w:t>
        <w:br/>
        <w:t xml:space="preserve">    for (const ts of timesheets) {</w:t>
        <w:br/>
        <w:t xml:space="preserve">        const entries = await SELECT.from(TimesheetEntries).where({ timesheet_ID: ts.ID, billable: true });</w:t>
        <w:br/>
        <w:t xml:space="preserve">        const emp = await SELECT.one.from(Employees).where({ ID: ts.employee_ID });</w:t>
        <w:br/>
        <w:t xml:space="preserve">        for (const entry of entries) {</w:t>
        <w:br/>
        <w:t xml:space="preserve">            subtotal += (Number(entry.hours) * Number(emp.hourlyRate));</w:t>
        <w:br/>
        <w:t xml:space="preserve">        }</w:t>
        <w:br/>
        <w:t xml:space="preserve">    }</w:t>
        <w:br/>
        <w:t xml:space="preserve">    const taxAmount = Number((subtotal * 0.18).toFixed(2));</w:t>
        <w:br/>
        <w:t xml:space="preserve">    const totalAmount = Number((subtotal + taxAmount).toFixed(2));</w:t>
        <w:br/>
        <w:t xml:space="preserve">    // Persist Invoice and transition timesheets to 'Invoiced'</w:t>
        <w:br/>
        <w:t xml:space="preserve">    ...</w:t>
        <w:br/>
        <w:t>});</w:t>
      </w:r>
    </w:p>
    <w:p>
      <w:pPr>
        <w:pStyle w:val="Heading1"/>
        <w:keepNext/>
        <w:spacing w:before="320" w:after="120"/>
      </w:pPr>
      <w:r>
        <w:rPr>
          <w:rFonts w:ascii="Calibri Light" w:hAnsi="Calibri Light"/>
          <w:b/>
          <w:color w:val="1B365D"/>
          <w:sz w:val="36"/>
        </w:rPr>
        <w:t>19. Technical Debt, Known Gaps &amp; Future Roadmap</w:t>
      </w:r>
    </w:p>
    <w:p>
      <w:r>
        <w:t>An objective assessment identifies the following items for continuous enhancement:</w:t>
      </w:r>
    </w:p>
    <w:p>
      <w:pPr>
        <w:pStyle w:val="ListBullet"/>
      </w:pPr>
      <w:r>
        <w:t>1. Security Binding: Completion of XSUAA service configuration in mta.yaml.</w:t>
      </w:r>
    </w:p>
    <w:p>
      <w:pPr>
        <w:pStyle w:val="ListBullet"/>
      </w:pPr>
      <w:r>
        <w:t>2. Automated PDF Generation: Adding server-side PDF document generation for client invoices.</w:t>
      </w:r>
    </w:p>
    <w:p>
      <w:pPr>
        <w:pStyle w:val="ListBullet"/>
      </w:pPr>
      <w:r>
        <w:t>3. Multi-Currency Live Conversion: Integrating an exchange rate service for global multi-currency invoicing.</w:t>
      </w:r>
    </w:p>
    <w:p>
      <w:pPr>
        <w:pStyle w:val="ListBullet"/>
      </w:pPr>
      <w:r>
        <w:t>4. Mobile Optimization: Enhancing responsive layouts for complex desktop tables on mobile viewports.</w:t>
      </w:r>
    </w:p>
    <w:p>
      <w:pPr>
        <w:pStyle w:val="Heading1"/>
        <w:keepNext/>
        <w:spacing w:before="320" w:after="120"/>
      </w:pPr>
      <w:r>
        <w:rPr>
          <w:rFonts w:ascii="Calibri Light" w:hAnsi="Calibri Light"/>
          <w:b/>
          <w:color w:val="1B365D"/>
          <w:sz w:val="36"/>
        </w:rPr>
        <w:t>20. Comprehensive Technical Glossary</w:t>
      </w:r>
    </w:p>
    <w:tbl>
      <w:tblPr>
        <w:tblW w:type="auto" w:w="0"/>
        <w:jc w:val="center"/>
        <w:tblLook w:firstColumn="1" w:firstRow="1" w:lastColumn="0" w:lastRow="0" w:noHBand="0" w:noVBand="1" w:val="04A0"/>
      </w:tblPr>
      <w:tblGrid>
        <w:gridCol w:w="4680"/>
        <w:gridCol w:w="4680"/>
      </w:tblGrid>
      <w:tr>
        <w:trPr>
          <w:cantSplit/>
          <w:tblHeader/>
        </w:trPr>
        <w:tc>
          <w:tcPr>
            <w:tcW w:type="dxa" w:w="4680"/>
            <w:shd w:fill="1B365D"/>
            <w:tcMar>
              <w:top w:w="120" w:type="dxa"/>
              <w:bottom w:w="120" w:type="dxa"/>
              <w:left w:w="140" w:type="dxa"/>
              <w:right w:w="140" w:type="dxa"/>
            </w:tcMar>
          </w:tcPr>
          <w:p>
            <w:pPr>
              <w:jc w:val="center"/>
            </w:pPr>
            <w:r>
              <w:rPr>
                <w:rFonts w:ascii="Calibri" w:hAnsi="Calibri"/>
                <w:b/>
                <w:color w:val="FFFFFF"/>
                <w:sz w:val="20"/>
              </w:rPr>
              <w:t>Technical Term / Acronym</w:t>
            </w:r>
          </w:p>
        </w:tc>
        <w:tc>
          <w:tcPr>
            <w:tcW w:type="dxa" w:w="4680"/>
            <w:shd w:fill="1B365D"/>
            <w:tcMar>
              <w:top w:w="120" w:type="dxa"/>
              <w:bottom w:w="120" w:type="dxa"/>
              <w:left w:w="140" w:type="dxa"/>
              <w:right w:w="140" w:type="dxa"/>
            </w:tcMar>
          </w:tcPr>
          <w:p>
            <w:pPr>
              <w:jc w:val="center"/>
            </w:pPr>
            <w:r>
              <w:rPr>
                <w:rFonts w:ascii="Calibri" w:hAnsi="Calibri"/>
                <w:b/>
                <w:color w:val="FFFFFF"/>
                <w:sz w:val="20"/>
              </w:rPr>
              <w:t>Definition &amp; Architectural Context</w:t>
            </w:r>
          </w:p>
        </w:tc>
      </w:tr>
      <w:tr>
        <w:trPr>
          <w:cantSplit/>
        </w:trPr>
        <w:tc>
          <w:tcPr>
            <w:tcW w:type="dxa" w:w="4680"/>
            <w:shd w:fill="FFFFFF"/>
            <w:tcMar>
              <w:top w:w="80" w:type="dxa"/>
              <w:bottom w:w="80" w:type="dxa"/>
              <w:left w:w="120" w:type="dxa"/>
              <w:right w:w="120" w:type="dxa"/>
            </w:tcMar>
          </w:tcPr>
          <w:p>
            <w:r>
              <w:rPr>
                <w:rFonts w:ascii="Calibri" w:hAnsi="Calibri"/>
                <w:color w:val="282828"/>
                <w:sz w:val="19"/>
              </w:rPr>
              <w:t>CAP (Cloud Application Programming)</w:t>
            </w:r>
          </w:p>
        </w:tc>
        <w:tc>
          <w:tcPr>
            <w:tcW w:type="dxa" w:w="4680"/>
            <w:shd w:fill="FFFFFF"/>
            <w:tcMar>
              <w:top w:w="80" w:type="dxa"/>
              <w:bottom w:w="80" w:type="dxa"/>
              <w:left w:w="120" w:type="dxa"/>
              <w:right w:w="120" w:type="dxa"/>
            </w:tcMar>
          </w:tcPr>
          <w:p>
            <w:r>
              <w:rPr>
                <w:rFonts w:ascii="Calibri" w:hAnsi="Calibri"/>
                <w:color w:val="282828"/>
                <w:sz w:val="19"/>
              </w:rPr>
              <w:t>SAP's opinionated, cloud-native framework for building enterprise-grade services with CDS, Node.js, and Java.</w:t>
            </w:r>
          </w:p>
        </w:tc>
      </w:tr>
      <w:tr>
        <w:trPr>
          <w:cantSplit/>
        </w:trPr>
        <w:tc>
          <w:tcPr>
            <w:tcW w:type="dxa" w:w="4680"/>
            <w:shd w:fill="F4F7F9"/>
            <w:tcMar>
              <w:top w:w="80" w:type="dxa"/>
              <w:bottom w:w="80" w:type="dxa"/>
              <w:left w:w="120" w:type="dxa"/>
              <w:right w:w="120" w:type="dxa"/>
            </w:tcMar>
          </w:tcPr>
          <w:p>
            <w:r>
              <w:rPr>
                <w:rFonts w:ascii="Calibri" w:hAnsi="Calibri"/>
                <w:color w:val="282828"/>
                <w:sz w:val="19"/>
              </w:rPr>
              <w:t>CDS (Core Data Services)</w:t>
            </w:r>
          </w:p>
        </w:tc>
        <w:tc>
          <w:tcPr>
            <w:tcW w:type="dxa" w:w="4680"/>
            <w:shd w:fill="F4F7F9"/>
            <w:tcMar>
              <w:top w:w="80" w:type="dxa"/>
              <w:bottom w:w="80" w:type="dxa"/>
              <w:left w:w="120" w:type="dxa"/>
              <w:right w:w="120" w:type="dxa"/>
            </w:tcMar>
          </w:tcPr>
          <w:p>
            <w:r>
              <w:rPr>
                <w:rFonts w:ascii="Calibri" w:hAnsi="Calibri"/>
                <w:color w:val="282828"/>
                <w:sz w:val="19"/>
              </w:rPr>
              <w:t>Domain-specific declarative modeling language used to define entity schemas, data models, and OData service projections.</w:t>
            </w:r>
          </w:p>
        </w:tc>
      </w:tr>
      <w:tr>
        <w:trPr>
          <w:cantSplit/>
        </w:trPr>
        <w:tc>
          <w:tcPr>
            <w:tcW w:type="dxa" w:w="4680"/>
            <w:shd w:fill="FFFFFF"/>
            <w:tcMar>
              <w:top w:w="80" w:type="dxa"/>
              <w:bottom w:w="80" w:type="dxa"/>
              <w:left w:w="120" w:type="dxa"/>
              <w:right w:w="120" w:type="dxa"/>
            </w:tcMar>
          </w:tcPr>
          <w:p>
            <w:r>
              <w:rPr>
                <w:rFonts w:ascii="Calibri" w:hAnsi="Calibri"/>
                <w:color w:val="282828"/>
                <w:sz w:val="19"/>
              </w:rPr>
              <w:t>HDI (HANA Deployment Infrastructure)</w:t>
            </w:r>
          </w:p>
        </w:tc>
        <w:tc>
          <w:tcPr>
            <w:tcW w:type="dxa" w:w="4680"/>
            <w:shd w:fill="FFFFFF"/>
            <w:tcMar>
              <w:top w:w="80" w:type="dxa"/>
              <w:bottom w:w="80" w:type="dxa"/>
              <w:left w:w="120" w:type="dxa"/>
              <w:right w:w="120" w:type="dxa"/>
            </w:tcMar>
          </w:tcPr>
          <w:p>
            <w:r>
              <w:rPr>
                <w:rFonts w:ascii="Calibri" w:hAnsi="Calibri"/>
                <w:color w:val="282828"/>
                <w:sz w:val="19"/>
              </w:rPr>
              <w:t>Container-based isolation mechanism in SAP HANA Cloud providing automated artifact lifecycle management.</w:t>
            </w:r>
          </w:p>
        </w:tc>
      </w:tr>
      <w:tr>
        <w:trPr>
          <w:cantSplit/>
        </w:trPr>
        <w:tc>
          <w:tcPr>
            <w:tcW w:type="dxa" w:w="4680"/>
            <w:shd w:fill="F4F7F9"/>
            <w:tcMar>
              <w:top w:w="80" w:type="dxa"/>
              <w:bottom w:w="80" w:type="dxa"/>
              <w:left w:w="120" w:type="dxa"/>
              <w:right w:w="120" w:type="dxa"/>
            </w:tcMar>
          </w:tcPr>
          <w:p>
            <w:r>
              <w:rPr>
                <w:rFonts w:ascii="Calibri" w:hAnsi="Calibri"/>
                <w:color w:val="282828"/>
                <w:sz w:val="19"/>
              </w:rPr>
              <w:t>OData V4</w:t>
            </w:r>
          </w:p>
        </w:tc>
        <w:tc>
          <w:tcPr>
            <w:tcW w:type="dxa" w:w="4680"/>
            <w:shd w:fill="F4F7F9"/>
            <w:tcMar>
              <w:top w:w="80" w:type="dxa"/>
              <w:bottom w:w="80" w:type="dxa"/>
              <w:left w:w="120" w:type="dxa"/>
              <w:right w:w="120" w:type="dxa"/>
            </w:tcMar>
          </w:tcPr>
          <w:p>
            <w:r>
              <w:rPr>
                <w:rFonts w:ascii="Calibri" w:hAnsi="Calibri"/>
                <w:color w:val="282828"/>
                <w:sz w:val="19"/>
              </w:rPr>
              <w:t>OASIS open standard RESTful protocol supporting batch operations, complex type expansions, and bound/unbound actions.</w:t>
            </w:r>
          </w:p>
        </w:tc>
      </w:tr>
      <w:tr>
        <w:trPr>
          <w:cantSplit/>
        </w:trPr>
        <w:tc>
          <w:tcPr>
            <w:tcW w:type="dxa" w:w="4680"/>
            <w:shd w:fill="FFFFFF"/>
            <w:tcMar>
              <w:top w:w="80" w:type="dxa"/>
              <w:bottom w:w="80" w:type="dxa"/>
              <w:left w:w="120" w:type="dxa"/>
              <w:right w:w="120" w:type="dxa"/>
            </w:tcMar>
          </w:tcPr>
          <w:p>
            <w:r>
              <w:rPr>
                <w:rFonts w:ascii="Calibri" w:hAnsi="Calibri"/>
                <w:color w:val="282828"/>
                <w:sz w:val="19"/>
              </w:rPr>
              <w:t>Fiori Elements</w:t>
            </w:r>
          </w:p>
        </w:tc>
        <w:tc>
          <w:tcPr>
            <w:tcW w:type="dxa" w:w="4680"/>
            <w:shd w:fill="FFFFFF"/>
            <w:tcMar>
              <w:top w:w="80" w:type="dxa"/>
              <w:bottom w:w="80" w:type="dxa"/>
              <w:left w:w="120" w:type="dxa"/>
              <w:right w:w="120" w:type="dxa"/>
            </w:tcMar>
          </w:tcPr>
          <w:p>
            <w:r>
              <w:rPr>
                <w:rFonts w:ascii="Calibri" w:hAnsi="Calibri"/>
                <w:color w:val="282828"/>
                <w:sz w:val="19"/>
              </w:rPr>
              <w:t>Metadata-driven UI library that renders standard Fiori floorplans dynamically from OData annotations.</w:t>
            </w:r>
          </w:p>
        </w:tc>
      </w:tr>
      <w:tr>
        <w:trPr>
          <w:cantSplit/>
        </w:trPr>
        <w:tc>
          <w:tcPr>
            <w:tcW w:type="dxa" w:w="4680"/>
            <w:shd w:fill="F4F7F9"/>
            <w:tcMar>
              <w:top w:w="80" w:type="dxa"/>
              <w:bottom w:w="80" w:type="dxa"/>
              <w:left w:w="120" w:type="dxa"/>
              <w:right w:w="120" w:type="dxa"/>
            </w:tcMar>
          </w:tcPr>
          <w:p>
            <w:r>
              <w:rPr>
                <w:rFonts w:ascii="Calibri" w:hAnsi="Calibri"/>
                <w:color w:val="282828"/>
                <w:sz w:val="19"/>
              </w:rPr>
              <w:t>MTA (Multi-Target Application)</w:t>
            </w:r>
          </w:p>
        </w:tc>
        <w:tc>
          <w:tcPr>
            <w:tcW w:type="dxa" w:w="4680"/>
            <w:shd w:fill="F4F7F9"/>
            <w:tcMar>
              <w:top w:w="80" w:type="dxa"/>
              <w:bottom w:w="80" w:type="dxa"/>
              <w:left w:w="120" w:type="dxa"/>
              <w:right w:w="120" w:type="dxa"/>
            </w:tcMar>
          </w:tcPr>
          <w:p>
            <w:r>
              <w:rPr>
                <w:rFonts w:ascii="Calibri" w:hAnsi="Calibri"/>
                <w:color w:val="282828"/>
                <w:sz w:val="19"/>
              </w:rPr>
              <w:t>Cloud packaging specification defining software modules, dependencies, and target configurations for Cloud Foundry.</w:t>
            </w:r>
          </w:p>
        </w:tc>
      </w:tr>
      <w:tr>
        <w:trPr>
          <w:cantSplit/>
        </w:trPr>
        <w:tc>
          <w:tcPr>
            <w:tcW w:type="dxa" w:w="4680"/>
            <w:shd w:fill="FFFFFF"/>
            <w:tcMar>
              <w:top w:w="80" w:type="dxa"/>
              <w:bottom w:w="80" w:type="dxa"/>
              <w:left w:w="120" w:type="dxa"/>
              <w:right w:w="120" w:type="dxa"/>
            </w:tcMar>
          </w:tcPr>
          <w:p>
            <w:r>
              <w:rPr>
                <w:rFonts w:ascii="Calibri" w:hAnsi="Calibri"/>
                <w:color w:val="282828"/>
                <w:sz w:val="19"/>
              </w:rPr>
              <w:t>XSUAA</w:t>
            </w:r>
          </w:p>
        </w:tc>
        <w:tc>
          <w:tcPr>
            <w:tcW w:type="dxa" w:w="4680"/>
            <w:shd w:fill="FFFFFF"/>
            <w:tcMar>
              <w:top w:w="80" w:type="dxa"/>
              <w:bottom w:w="80" w:type="dxa"/>
              <w:left w:w="120" w:type="dxa"/>
              <w:right w:w="120" w:type="dxa"/>
            </w:tcMar>
          </w:tcPr>
          <w:p>
            <w:r>
              <w:rPr>
                <w:rFonts w:ascii="Calibri" w:hAnsi="Calibri"/>
                <w:color w:val="282828"/>
                <w:sz w:val="19"/>
              </w:rPr>
              <w:t>SAP BTP security service providing OAuth 2.0 authentication and role-based authorization via JSON Web Tokens (JWT).</w:t>
            </w:r>
          </w:p>
        </w:tc>
      </w:tr>
    </w:tbl>
    <w:p>
      <w:pPr>
        <w:pStyle w:val="Heading1"/>
        <w:keepNext/>
        <w:spacing w:before="320" w:after="120"/>
      </w:pPr>
      <w:r>
        <w:rPr>
          <w:rFonts w:ascii="Calibri Light" w:hAnsi="Calibri Light"/>
          <w:b/>
          <w:color w:val="1B365D"/>
          <w:sz w:val="36"/>
        </w:rPr>
        <w:t>21. Technical Interview &amp; Project Defense Preparation (Top 25 Q&amp;A)</w:t>
      </w:r>
    </w:p>
    <w:p>
      <w:r>
        <w:t>This section prepares architects and developers to defend every design decision during technical evaluations and client audits:</w:t>
      </w:r>
    </w:p>
    <w:p>
      <w:pPr>
        <w:keepNext/>
        <w:spacing w:before="160" w:after="40"/>
      </w:pPr>
      <w:r>
        <w:rPr>
          <w:b/>
          <w:color w:val="1B365D"/>
        </w:rPr>
        <w:t>Q1: What is the core business problem solved by EnterprisePSA?</w:t>
      </w:r>
    </w:p>
    <w:p>
      <w:pPr>
        <w:spacing w:after="120"/>
      </w:pPr>
      <w:r>
        <w:t>EnterprisePSA automates the end-to-end professional services engagement lifecycle—eliminating timesheet submission bottlenecks, preventing unbilled revenue leakage, providing real-time project budget burn transparency, and automating client invoicing directly from approved effort.</w:t>
      </w:r>
    </w:p>
    <w:p>
      <w:pPr>
        <w:keepNext/>
        <w:spacing w:before="160" w:after="40"/>
      </w:pPr>
      <w:r>
        <w:rPr>
          <w:b/>
          <w:color w:val="1B365D"/>
        </w:rPr>
        <w:t>Q2: Why did you choose SAP CAP Node.js over Java for the backend?</w:t>
      </w:r>
    </w:p>
    <w:p>
      <w:pPr>
        <w:spacing w:after="120"/>
      </w:pPr>
      <w:r>
        <w:t>CAP Node.js was selected due to its lightweight runtime footprint, asynchronous non-blocking event-driven I/O model (ideal for handling concurrent timesheet logging and analytics queries), seamless JSON interoperability with OData V4, and rapid local iteration capabilities.</w:t>
      </w:r>
    </w:p>
    <w:p>
      <w:pPr>
        <w:keepNext/>
        <w:spacing w:before="160" w:after="40"/>
      </w:pPr>
      <w:r>
        <w:rPr>
          <w:b/>
          <w:color w:val="1B365D"/>
        </w:rPr>
        <w:t>Q3: How does EnterprisePSA communicate with SAP HANA Cloud?</w:t>
      </w:r>
    </w:p>
    <w:p>
      <w:pPr>
        <w:spacing w:after="120"/>
      </w:pPr>
      <w:r>
        <w:t>The service utilizes the @cap-js/hana driver. CDS entity models in db/schema.cds are compiled into native SAP HANA HDI artifacts. The CAP runtime automatically translates CQL (CDS Query Language) into optimized native HANA SQL queries executed over encrypted TLS.</w:t>
      </w:r>
    </w:p>
    <w:p>
      <w:pPr>
        <w:keepNext/>
        <w:spacing w:before="160" w:after="40"/>
      </w:pPr>
      <w:r>
        <w:rPr>
          <w:b/>
          <w:color w:val="1B365D"/>
        </w:rPr>
        <w:t>Q4: Why did you implement both Freestyle SAPUI5 and Fiori Elements in the same project?</w:t>
      </w:r>
    </w:p>
    <w:p>
      <w:pPr>
        <w:spacing w:after="120"/>
      </w:pPr>
      <w:r>
        <w:t>To optimize user experience for distinct personas. High-interactivity workflows (such as the Manager approval inbox with dynamic budget recalculation and the 10-tab Admin &amp; Finance suite) require the bespoke control and fine-grained state management of Freestyle SAPUI5. Conversely, standard reporting and audit views (Projects, Timesheets, Invoices) excel under the standardized, metadata-driven floorplans of SAP Fiori Elements.</w:t>
      </w:r>
    </w:p>
    <w:p>
      <w:pPr>
        <w:keepNext/>
        <w:spacing w:before="160" w:after="40"/>
      </w:pPr>
      <w:r>
        <w:rPr>
          <w:b/>
          <w:color w:val="1B365D"/>
        </w:rPr>
        <w:t>Q5: What are the primary entities in the database model and how do they relate?</w:t>
      </w:r>
    </w:p>
    <w:p>
      <w:pPr>
        <w:spacing w:after="120"/>
      </w:pPr>
      <w:r>
        <w:t>The 11 core entities are Departments, Employees, Managers, Clients, Projects, Budgets, Milestones, Tasks, Timesheets, TimesheetEntries, and Invoices. Departments group Employees and Managers. Managers govern Projects. Projects contain 1:1 Budgets, 1:N Milestones, and generate Invoices for Clients. Milestones break down into Tasks, against which Employees log TimesheetEntries inside weekly Timesheets.</w:t>
      </w:r>
    </w:p>
    <w:p>
      <w:pPr>
        <w:keepNext/>
        <w:spacing w:before="160" w:after="40"/>
      </w:pPr>
      <w:r>
        <w:rPr>
          <w:b/>
          <w:color w:val="1B365D"/>
        </w:rPr>
        <w:t>Q6: How is a Timesheet created and what are its possible lifecycle states?</w:t>
      </w:r>
    </w:p>
    <w:p>
      <w:pPr>
        <w:spacing w:after="120"/>
      </w:pPr>
      <w:r>
        <w:t>An employee creates a Timesheet for a specific weekly period in 'Draft' status. Once effort is logged, they invoke submitTimesheet(), transitioning it to 'Submitted'. The manager reviews the timesheet and either calls approveTimesheet() (transitioning to 'Approved') or rejectTimesheet(reason) (transitioning to 'Rejected'). Approved timesheets transition to 'Invoiced' when incorporated into an invoice.</w:t>
      </w:r>
    </w:p>
    <w:p>
      <w:pPr>
        <w:keepNext/>
        <w:spacing w:before="160" w:after="40"/>
      </w:pPr>
      <w:r>
        <w:rPr>
          <w:b/>
          <w:color w:val="1B365D"/>
        </w:rPr>
        <w:t>Q7: What happens behind the scenes when a Manager approves a timesheet?</w:t>
      </w:r>
    </w:p>
    <w:p>
      <w:pPr>
        <w:spacing w:after="120"/>
      </w:pPr>
      <w:r>
        <w:t>The approveTimesheet bound action verifies that the timesheet is in 'Submitted' status, sets status to 'Approved', records the current timestamp in approvedDate, and updates actualHours on the related Tasks. It also triggers project budget burn updates, incrementing spentAmount.</w:t>
      </w:r>
    </w:p>
    <w:p>
      <w:pPr>
        <w:keepNext/>
        <w:spacing w:before="160" w:after="40"/>
      </w:pPr>
      <w:r>
        <w:rPr>
          <w:b/>
          <w:color w:val="1B365D"/>
        </w:rPr>
        <w:t>Q8: How does the invoice generation algorithm work?</w:t>
      </w:r>
    </w:p>
    <w:p>
      <w:pPr>
        <w:spacing w:after="120"/>
      </w:pPr>
      <w:r>
        <w:t>The Projects.generateInvoice() bound action scans all 'Approved' timesheets for the project that have not yet been invoiced. For each billable entry, it calculates labor cost (hours * employee.hourlyRate). It aggregates the subtotal, adds 18% statutory tax, creates an Invoice entity in 'Draft' status, and atomically updates the included timesheets' status to 'Invoiced'.</w:t>
      </w:r>
    </w:p>
    <w:p>
      <w:pPr>
        <w:keepNext/>
        <w:spacing w:before="160" w:after="40"/>
      </w:pPr>
      <w:r>
        <w:rPr>
          <w:b/>
          <w:color w:val="1B365D"/>
        </w:rPr>
        <w:t>Q9: What is the dual-status model used for Invoices?</w:t>
      </w:r>
    </w:p>
    <w:p>
      <w:pPr>
        <w:spacing w:after="120"/>
      </w:pPr>
      <w:r>
        <w:t>Invoices maintain two distinct status fields: 'status' (governing the commercial lifecycle: Draft -&gt; Sent -&gt; Paid / Cancelled) and 'paymentStatus' (governing cash collection: Draft -&gt; Issued -&gt; Paid). This decoupling allows finance to track invoice delivery separately from payment receipt.</w:t>
      </w:r>
    </w:p>
    <w:p>
      <w:pPr>
        <w:keepNext/>
        <w:spacing w:before="160" w:after="40"/>
      </w:pPr>
      <w:r>
        <w:rPr>
          <w:b/>
          <w:color w:val="1B365D"/>
        </w:rPr>
        <w:t>Q10: What are the preconditions for the Invoices.issue() action?</w:t>
      </w:r>
    </w:p>
    <w:p>
      <w:pPr>
        <w:spacing w:after="120"/>
      </w:pPr>
      <w:r>
        <w:t>The issue() action strictly verifies that both status === 'Draft' and paymentStatus === 'Draft'. It transitions status to 'Sent' and paymentStatus to 'Issued'. This prevents re-issuing sent, paid, or cancelled invoices.</w:t>
      </w:r>
    </w:p>
    <w:p>
      <w:pPr>
        <w:keepNext/>
        <w:spacing w:before="160" w:after="40"/>
      </w:pPr>
      <w:r>
        <w:rPr>
          <w:b/>
          <w:color w:val="1B365D"/>
        </w:rPr>
        <w:t>Q11: What are the preconditions for the Invoices.markPaid() action?</w:t>
      </w:r>
    </w:p>
    <w:p>
      <w:pPr>
        <w:spacing w:after="120"/>
      </w:pPr>
      <w:r>
        <w:t>The markPaid() action requires that paymentStatus === 'Issued' or status is either 'Sent' or 'Issued'. It transitions both status and paymentStatus to 'Paid' and stamps paidDate, preventing double-collection or marking un-issued invoices as paid.</w:t>
      </w:r>
    </w:p>
    <w:p>
      <w:pPr>
        <w:keepNext/>
        <w:spacing w:before="160" w:after="40"/>
      </w:pPr>
      <w:r>
        <w:rPr>
          <w:b/>
          <w:color w:val="1B365D"/>
        </w:rPr>
        <w:t>Q12: How are financial KPIs calculated in the Admin &amp; Finance Dashboard?</w:t>
      </w:r>
    </w:p>
    <w:p>
      <w:pPr>
        <w:spacing w:after="120"/>
      </w:pPr>
      <w:r>
        <w:t>The _loadFinanceKPIs() function aggregates values across non-cancelled invoices: Total Invoiced sums totalAmount for all active invoices; Total Paid sums amounts where paymentStatus === 'Paid'; Outstanding Balance sums amounts for un-settled active invoices. Multi-currency formatting is applied based on project currency.</w:t>
      </w:r>
    </w:p>
    <w:p>
      <w:pPr>
        <w:keepNext/>
        <w:spacing w:before="160" w:after="40"/>
      </w:pPr>
      <w:r>
        <w:rPr>
          <w:b/>
          <w:color w:val="1B365D"/>
        </w:rPr>
        <w:t>Q13: How is project budget burn calculated and visualized?</w:t>
      </w:r>
    </w:p>
    <w:p>
      <w:pPr>
        <w:spacing w:after="120"/>
      </w:pPr>
      <w:r>
        <w:t>Project budget burn is computed as (Budgets.spentAmount / Budgets.totalAmount) * 100. In the Manager Dashboard, this is visualized via ProgressIndicator controls with semantic state colors: Normal (&lt;80%), Critical (80-90%), and Negative/Error (&gt;90%).</w:t>
      </w:r>
    </w:p>
    <w:p>
      <w:pPr>
        <w:keepNext/>
        <w:spacing w:before="160" w:after="40"/>
      </w:pPr>
      <w:r>
        <w:rPr>
          <w:b/>
          <w:color w:val="1B365D"/>
        </w:rPr>
        <w:t>Q14: How does the Employee Dashboard calculate resource utilization?</w:t>
      </w:r>
    </w:p>
    <w:p>
      <w:pPr>
        <w:spacing w:after="120"/>
      </w:pPr>
      <w:r>
        <w:t>Utilization is computed as (Total Billable Hours / 40.0) * 100, comparing billable effort logged against a standard 40-hour weekly baseline.</w:t>
      </w:r>
    </w:p>
    <w:p>
      <w:pPr>
        <w:keepNext/>
        <w:spacing w:before="160" w:after="40"/>
      </w:pPr>
      <w:r>
        <w:rPr>
          <w:b/>
          <w:color w:val="1B365D"/>
        </w:rPr>
        <w:t>Q15: What is the security gap currently in the project and how will it be remediated?</w:t>
      </w:r>
    </w:p>
    <w:p>
      <w:pPr>
        <w:spacing w:after="120"/>
      </w:pPr>
      <w:r>
        <w:t>CatalogService currently lacks @requires and @restrict annotations, and mta.yaml lacks an XSUAA resource binding, operating under mock auth. Remediation requires creating xs-security.json with PSA.Admin, PSA.Manager, PSA.Employee, and PSA.Finance scopes, annotating CDS entities with where-clause restrictions, and binding the xsuaa service in mta.yaml.</w:t>
      </w:r>
    </w:p>
    <w:p>
      <w:pPr>
        <w:keepNext/>
        <w:spacing w:before="160" w:after="40"/>
      </w:pPr>
      <w:r>
        <w:rPr>
          <w:b/>
          <w:color w:val="1B365D"/>
        </w:rPr>
        <w:t>Q16: How does the project handle error handling and database transactions?</w:t>
      </w:r>
    </w:p>
    <w:p>
      <w:pPr>
        <w:spacing w:after="120"/>
      </w:pPr>
      <w:r>
        <w:t>CAP natively wraps action handlers in database transactions. When business validations fail, handlers invoke req.error(400, message) or req.reject(), which halts execution and rolls back all database modifications, returning standardized OData V4 error responses to the UI.</w:t>
      </w:r>
    </w:p>
    <w:p>
      <w:pPr>
        <w:keepNext/>
        <w:spacing w:before="160" w:after="40"/>
      </w:pPr>
      <w:r>
        <w:rPr>
          <w:b/>
          <w:color w:val="1B365D"/>
        </w:rPr>
        <w:t>Q17: Why are all UI controls required to have stable IDs?</w:t>
      </w:r>
    </w:p>
    <w:p>
      <w:pPr>
        <w:spacing w:after="120"/>
      </w:pPr>
      <w:r>
        <w:t>In SAPUI5 applications with flexEnabled: true (SAP UI Adaptation / Key User Adaptation), all XML controls must possess unique, stable IDs to enable runtime variant management, automated testing, and extensibility without breaking control reference pointers.</w:t>
      </w:r>
    </w:p>
    <w:p>
      <w:pPr>
        <w:keepNext/>
        <w:spacing w:before="160" w:after="40"/>
      </w:pPr>
      <w:r>
        <w:rPr>
          <w:b/>
          <w:color w:val="1B365D"/>
        </w:rPr>
        <w:t>Q18: What is the role of mta.yaml in this project?</w:t>
      </w:r>
    </w:p>
    <w:p>
      <w:pPr>
        <w:spacing w:after="120"/>
      </w:pPr>
      <w:r>
        <w:t>mta.yaml defines the Multi-Target Application architecture, orchestrating the build and deployment of the Node.js application (enterprisepsa-srv), the database deployer (enterprisepsa-db-deployer), and the SAP HANA HDI container resource (enterprisepsa-db).</w:t>
      </w:r>
    </w:p>
    <w:p>
      <w:pPr>
        <w:keepNext/>
        <w:spacing w:before="160" w:after="40"/>
      </w:pPr>
      <w:r>
        <w:rPr>
          <w:b/>
          <w:color w:val="1B365D"/>
        </w:rPr>
        <w:t>Q19: How does the application prevent duplicate invoice generation for the same hours?</w:t>
      </w:r>
    </w:p>
    <w:p>
      <w:pPr>
        <w:spacing w:after="120"/>
      </w:pPr>
      <w:r>
        <w:t>When Projects.generateInvoice() runs, it atomically updates all processed timesheets from 'Approved' to 'Invoiced'. Subsequent invoice generation runs filter strictly for timesheets with status === 'Approved', ensuring no hour is ever billed twice.</w:t>
      </w:r>
    </w:p>
    <w:p>
      <w:pPr>
        <w:keepNext/>
        <w:spacing w:before="160" w:after="40"/>
      </w:pPr>
      <w:r>
        <w:rPr>
          <w:b/>
          <w:color w:val="1B365D"/>
        </w:rPr>
        <w:t>Q20: Can an employee edit a timesheet after it has been submitted?</w:t>
      </w:r>
    </w:p>
    <w:p>
      <w:pPr>
        <w:spacing w:after="120"/>
      </w:pPr>
      <w:r>
        <w:t>No. Once submitted, the timesheet is locked for employee editing. If the manager rejects the timesheet, it transitions to 'Rejected', which re-opens the timesheet, allowing the employee to edit dates or effort entries and re-submit.</w:t>
      </w:r>
    </w:p>
    <w:p>
      <w:pPr>
        <w:keepNext/>
        <w:spacing w:before="160" w:after="40"/>
      </w:pPr>
      <w:r>
        <w:rPr>
          <w:b/>
          <w:color w:val="1B365D"/>
        </w:rPr>
        <w:t>Q21: How are departments associated with managers and employees?</w:t>
      </w:r>
    </w:p>
    <w:p>
      <w:pPr>
        <w:spacing w:after="120"/>
      </w:pPr>
      <w:r>
        <w:t>Departments have 1:N compositions with Employees and Managers. Each Employee has an association to their Department, and Managers supervise a Department while also linking 1:1 to their underlying Employee personnel profile.</w:t>
      </w:r>
    </w:p>
    <w:p>
      <w:pPr>
        <w:keepNext/>
        <w:spacing w:before="160" w:after="40"/>
      </w:pPr>
      <w:r>
        <w:rPr>
          <w:b/>
          <w:color w:val="1B365D"/>
        </w:rPr>
        <w:t>Q22: How does the Manager Dashboard populate direct reports?</w:t>
      </w:r>
    </w:p>
    <w:p>
      <w:pPr>
        <w:spacing w:after="120"/>
      </w:pPr>
      <w:r>
        <w:t>The controller filters Employees using managerProfile_ID === selectedManager.ID and joins Department data via OData V4 expand, displaying employee details and current timesheet submission status in the My Team tab.</w:t>
      </w:r>
    </w:p>
    <w:p>
      <w:pPr>
        <w:keepNext/>
        <w:spacing w:before="160" w:after="40"/>
      </w:pPr>
      <w:r>
        <w:rPr>
          <w:b/>
          <w:color w:val="1B365D"/>
        </w:rPr>
        <w:t>Q23: What OData V4 query options are utilized heavily in the frontend?</w:t>
      </w:r>
    </w:p>
    <w:p>
      <w:pPr>
        <w:spacing w:after="120"/>
      </w:pPr>
      <w:r>
        <w:t>The applications heavily utilize $expand (e.g. expanding employee and entries on timesheets), $filter (filtering by status, project, or manager), and $select (restricting returned payload size to improve throughput).</w:t>
      </w:r>
    </w:p>
    <w:p>
      <w:pPr>
        <w:keepNext/>
        <w:spacing w:before="160" w:after="40"/>
      </w:pPr>
      <w:r>
        <w:rPr>
          <w:b/>
          <w:color w:val="1B365D"/>
        </w:rPr>
        <w:t>Q24: How does the Admin app manage 10 distinct functional domains without performance degradation?</w:t>
      </w:r>
    </w:p>
    <w:p>
      <w:pPr>
        <w:spacing w:after="120"/>
      </w:pPr>
      <w:r>
        <w:t>The Admin app uses lazy-loading patterns inside sap.m.IconTabBar. Entity data is fetched on demand when specific tabs (such as Invoices or Payments) are activated, preventing unnecessary large batch payloads on initial load.</w:t>
      </w:r>
    </w:p>
    <w:p>
      <w:pPr>
        <w:keepNext/>
        <w:spacing w:before="160" w:after="40"/>
      </w:pPr>
      <w:r>
        <w:rPr>
          <w:b/>
          <w:color w:val="1B365D"/>
        </w:rPr>
        <w:t>Q25: What are the top three architectural strengths of EnterprisePSA?</w:t>
      </w:r>
    </w:p>
    <w:p>
      <w:pPr>
        <w:spacing w:after="120"/>
      </w:pPr>
      <w:r>
        <w:t>1) Strict separation of concerns between declarative CDS models, event-driven Node.js business logic, and SAPUI5 presentation.</w:t>
        <w:br/>
        <w:t>2) Complete lifecycle traceability from individual daily labor entries all the way to commercial invoice settlement.</w:t>
        <w:br/>
        <w:t>3) Enterprise SAP alignment leveraging native HANA HDI persistence, standard OData V4 protocols, and Fiori design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