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t>SlabSplit Implementation Documentation</w:t>
      </w:r>
    </w:p>
    <w:p>
      <w:pPr>
        <w:keepLines/>
        <w:spacing w:after="140"/>
      </w:pPr>
      <w:r>
        <w:t>Project implementation guide for the DBMS Level 3 mini project. This document explains the working base demo, maps it to the mandatory course requirements, and records what has actually been verified. The original project PDF and course requirements Word file remain unchanged.</w:t>
      </w:r>
    </w:p>
    <w:p>
      <w:pPr>
        <w:keepLines/>
        <w:spacing w:after="140"/>
      </w:pPr>
      <w:r>
        <w:t>Project team named in the proposal: Dhanush S and Darshan Govekar. Actual individual contributions and Git commits must be recorded by the team before submission.</w:t>
      </w:r>
    </w:p>
    <w:p>
      <w:pPr>
        <w:pStyle w:val="Heading1"/>
        <w:keepNext/>
      </w:pPr>
      <w:r>
        <w:t>1 Problem and objective</w:t>
      </w:r>
    </w:p>
    <w:p>
      <w:pPr>
        <w:keepLines/>
        <w:spacing w:after="140"/>
      </w:pPr>
      <w:r>
        <w:t>A shared flat receives one electricity bill, but occupants may move in or out during the billing period. Equal division can charge someone for days when they did not live there. SlabSplit stores dated occupancy, tariff slabs, bills and shared expenses, calculates each person's fair share, records who paid, and suggests transfers between flatmates.</w:t>
      </w:r>
    </w:p>
    <w:p>
      <w:pPr>
        <w:pStyle w:val="ListBullet"/>
        <w:spacing w:after="60"/>
      </w:pPr>
      <w:r>
        <w:t>Calculate slab charges from meter readings and the household's effective tariff rates.</w:t>
      </w:r>
    </w:p>
    <w:p>
      <w:pPr>
        <w:pStyle w:val="ListBullet"/>
        <w:spacing w:after="60"/>
      </w:pPr>
      <w:r>
        <w:t>Allocate utility and recurring expense amounts according to applicable occupancy days. Rent can also use a rent weight.</w:t>
      </w:r>
    </w:p>
    <w:p>
      <w:pPr>
        <w:pStyle w:val="ListBullet"/>
        <w:spacing w:after="60"/>
      </w:pPr>
      <w:r>
        <w:t>Track provider payments, reimbursements, receipts and settlement status in a database-backed web interface.</w:t>
      </w:r>
    </w:p>
    <w:p>
      <w:pPr>
        <w:pStyle w:val="Heading1"/>
        <w:keepNext/>
      </w:pPr>
      <w:r>
        <w:t>2 Scope and requirements coverage</w:t>
      </w:r>
    </w:p>
    <w:p>
      <w:pPr>
        <w:keepLines/>
        <w:spacing w:after="140"/>
      </w:pPr>
      <w:r>
        <w:t>The base demo uses Next.js for the interface, PostgreSQL for related financial records, and pgvector for similarity search. The vector service uses the MiniLM model named in the project PDF. The SQL database remains the source of truth for money and relationships.</w:t>
      </w:r>
    </w:p>
    <w:tbl>
      <w:tblPr>
        <w:tblStyle w:val="TableGrid"/>
        <w:tblW w:type="auto" w:w="0"/>
        <w:jc w:val="center"/>
        <w:tblLayout w:type="fixed"/>
        <w:tblLook w:firstColumn="1" w:firstRow="1" w:lastColumn="0" w:lastRow="0" w:noHBand="0" w:noVBand="1" w:val="04A0"/>
      </w:tblPr>
      <w:tblGrid>
        <w:gridCol w:w="2621"/>
        <w:gridCol w:w="3816"/>
        <w:gridCol w:w="2808"/>
      </w:tblGrid>
      <w:tr>
        <w:trPr>
          <w:tblHeader w:val="true"/>
        </w:trPr>
        <w:tc>
          <w:tcPr>
            <w:tcW w:type="dxa" w:w="3312"/>
            <w:vAlign w:val="center"/>
            <w:shd w:fill="173E50"/>
          </w:tcPr>
          <w:p>
            <w:pPr>
              <w:spacing w:after="0"/>
            </w:pPr>
            <w:r/>
            <w:r>
              <w:rPr>
                <w:b/>
                <w:color w:val="FFFFFF"/>
                <w:sz w:val="18"/>
              </w:rPr>
              <w:t>Course requirement</w:t>
            </w:r>
          </w:p>
        </w:tc>
        <w:tc>
          <w:tcPr>
            <w:tcW w:type="dxa" w:w="3312"/>
            <w:vAlign w:val="center"/>
            <w:shd w:fill="173E50"/>
          </w:tcPr>
          <w:p>
            <w:pPr>
              <w:spacing w:after="0"/>
            </w:pPr>
            <w:r/>
            <w:r>
              <w:rPr>
                <w:b/>
                <w:color w:val="FFFFFF"/>
                <w:sz w:val="18"/>
              </w:rPr>
              <w:t>Where implemented</w:t>
            </w:r>
          </w:p>
        </w:tc>
        <w:tc>
          <w:tcPr>
            <w:tcW w:type="dxa" w:w="3312"/>
            <w:vAlign w:val="center"/>
            <w:shd w:fill="173E50"/>
          </w:tcPr>
          <w:p>
            <w:pPr>
              <w:spacing w:after="0"/>
            </w:pPr>
            <w:r/>
            <w:r>
              <w:rPr>
                <w:b/>
                <w:color w:val="FFFFFF"/>
                <w:sz w:val="18"/>
              </w:rPr>
              <w:t>Current state</w:t>
            </w:r>
          </w:p>
        </w:tc>
      </w:tr>
      <w:tr>
        <w:trPr>
          <w:cantSplit/>
        </w:trPr>
        <w:tc>
          <w:tcPr>
            <w:tcW w:type="dxa" w:w="2621"/>
            <w:vAlign w:val="center"/>
          </w:tcPr>
          <w:p>
            <w:pPr>
              <w:spacing w:after="0"/>
            </w:pPr>
            <w:r/>
            <w:r>
              <w:rPr>
                <w:b w:val="0"/>
                <w:sz w:val="18"/>
              </w:rPr>
              <w:t>SQL plus vector paradigm</w:t>
            </w:r>
          </w:p>
        </w:tc>
        <w:tc>
          <w:tcPr>
            <w:tcW w:type="dxa" w:w="3816"/>
            <w:vAlign w:val="center"/>
          </w:tcPr>
          <w:p>
            <w:pPr>
              <w:spacing w:after="0"/>
            </w:pPr>
            <w:r/>
            <w:r>
              <w:rPr>
                <w:b w:val="0"/>
                <w:sz w:val="18"/>
              </w:rPr>
              <w:t>PostgreSQL schema, pgvector and embedding service</w:t>
            </w:r>
          </w:p>
        </w:tc>
        <w:tc>
          <w:tcPr>
            <w:tcW w:type="dxa" w:w="2808"/>
            <w:vAlign w:val="center"/>
          </w:tcPr>
          <w:p>
            <w:pPr>
              <w:spacing w:after="0"/>
            </w:pPr>
            <w:r/>
            <w:r>
              <w:rPr>
                <w:b w:val="0"/>
                <w:sz w:val="18"/>
              </w:rPr>
              <w:t>SQL demo verified; pgvector run pending</w:t>
            </w:r>
          </w:p>
        </w:tc>
      </w:tr>
      <w:tr>
        <w:trPr>
          <w:cantSplit/>
        </w:trPr>
        <w:tc>
          <w:tcPr>
            <w:tcW w:type="dxa" w:w="2621"/>
            <w:vAlign w:val="center"/>
          </w:tcPr>
          <w:p>
            <w:pPr>
              <w:spacing w:after="0"/>
            </w:pPr>
            <w:r/>
            <w:r>
              <w:rPr>
                <w:b w:val="0"/>
                <w:sz w:val="18"/>
              </w:rPr>
              <w:t>ER diagram and relational schema</w:t>
            </w:r>
          </w:p>
        </w:tc>
        <w:tc>
          <w:tcPr>
            <w:tcW w:type="dxa" w:w="3816"/>
            <w:vAlign w:val="center"/>
          </w:tcPr>
          <w:p>
            <w:pPr>
              <w:spacing w:after="0"/>
            </w:pPr>
            <w:r/>
            <w:r>
              <w:rPr>
                <w:b w:val="0"/>
                <w:sz w:val="18"/>
              </w:rPr>
              <w:t>Source PDF; diagram and table dictionary in this guide</w:t>
            </w:r>
          </w:p>
        </w:tc>
        <w:tc>
          <w:tcPr>
            <w:tcW w:type="dxa" w:w="2808"/>
            <w:vAlign w:val="center"/>
          </w:tcPr>
          <w:p>
            <w:pPr>
              <w:spacing w:after="0"/>
            </w:pPr>
            <w:r/>
            <w:r>
              <w:rPr>
                <w:b w:val="0"/>
                <w:sz w:val="18"/>
              </w:rPr>
              <w:t>Documented</w:t>
            </w:r>
          </w:p>
        </w:tc>
      </w:tr>
      <w:tr>
        <w:trPr>
          <w:cantSplit/>
        </w:trPr>
        <w:tc>
          <w:tcPr>
            <w:tcW w:type="dxa" w:w="2621"/>
            <w:vAlign w:val="center"/>
          </w:tcPr>
          <w:p>
            <w:pPr>
              <w:spacing w:after="0"/>
            </w:pPr>
            <w:r/>
            <w:r>
              <w:rPr>
                <w:b w:val="0"/>
                <w:sz w:val="18"/>
              </w:rPr>
              <w:t>CREATE, ALTER, DROP</w:t>
            </w:r>
          </w:p>
        </w:tc>
        <w:tc>
          <w:tcPr>
            <w:tcW w:type="dxa" w:w="3816"/>
            <w:vAlign w:val="center"/>
          </w:tcPr>
          <w:p>
            <w:pPr>
              <w:spacing w:after="0"/>
            </w:pPr>
            <w:r/>
            <w:r>
              <w:rPr>
                <w:b w:val="0"/>
                <w:sz w:val="18"/>
              </w:rPr>
              <w:t>database/schema.sql and database/ddl_demo.sql</w:t>
            </w:r>
          </w:p>
        </w:tc>
        <w:tc>
          <w:tcPr>
            <w:tcW w:type="dxa" w:w="2808"/>
            <w:vAlign w:val="center"/>
          </w:tcPr>
          <w:p>
            <w:pPr>
              <w:spacing w:after="0"/>
            </w:pPr>
            <w:r/>
            <w:r>
              <w:rPr>
                <w:b w:val="0"/>
                <w:sz w:val="18"/>
              </w:rPr>
              <w:t>Scripts present</w:t>
            </w:r>
          </w:p>
        </w:tc>
      </w:tr>
      <w:tr>
        <w:trPr>
          <w:cantSplit/>
        </w:trPr>
        <w:tc>
          <w:tcPr>
            <w:tcW w:type="dxa" w:w="2621"/>
            <w:vAlign w:val="center"/>
          </w:tcPr>
          <w:p>
            <w:pPr>
              <w:spacing w:after="0"/>
            </w:pPr>
            <w:r/>
            <w:r>
              <w:rPr>
                <w:b w:val="0"/>
                <w:sz w:val="18"/>
              </w:rPr>
              <w:t>INSERT, UPDATE, DELETE, SELECT</w:t>
            </w:r>
          </w:p>
        </w:tc>
        <w:tc>
          <w:tcPr>
            <w:tcW w:type="dxa" w:w="3816"/>
            <w:vAlign w:val="center"/>
          </w:tcPr>
          <w:p>
            <w:pPr>
              <w:spacing w:after="0"/>
            </w:pPr>
            <w:r/>
            <w:r>
              <w:rPr>
                <w:b w:val="0"/>
                <w:sz w:val="18"/>
              </w:rPr>
              <w:t>Next.js actions and data API</w:t>
            </w:r>
          </w:p>
        </w:tc>
        <w:tc>
          <w:tcPr>
            <w:tcW w:type="dxa" w:w="2808"/>
            <w:vAlign w:val="center"/>
          </w:tcPr>
          <w:p>
            <w:pPr>
              <w:spacing w:after="0"/>
            </w:pPr>
            <w:r/>
            <w:r>
              <w:rPr>
                <w:b w:val="0"/>
                <w:sz w:val="18"/>
              </w:rPr>
              <w:t>Implemented</w:t>
            </w:r>
          </w:p>
        </w:tc>
      </w:tr>
      <w:tr>
        <w:trPr>
          <w:cantSplit/>
        </w:trPr>
        <w:tc>
          <w:tcPr>
            <w:tcW w:type="dxa" w:w="2621"/>
            <w:vAlign w:val="center"/>
          </w:tcPr>
          <w:p>
            <w:pPr>
              <w:spacing w:after="0"/>
            </w:pPr>
            <w:r/>
            <w:r>
              <w:rPr>
                <w:b w:val="0"/>
                <w:sz w:val="18"/>
              </w:rPr>
              <w:t>JOIN, GROUP BY, HAVING, ORDER BY, aggregate, subquery</w:t>
            </w:r>
          </w:p>
        </w:tc>
        <w:tc>
          <w:tcPr>
            <w:tcW w:type="dxa" w:w="3816"/>
            <w:vAlign w:val="center"/>
          </w:tcPr>
          <w:p>
            <w:pPr>
              <w:spacing w:after="0"/>
            </w:pPr>
            <w:r/>
            <w:r>
              <w:rPr>
                <w:b w:val="0"/>
                <w:sz w:val="18"/>
              </w:rPr>
              <w:t>Reports screen and database/queries.sql</w:t>
            </w:r>
          </w:p>
        </w:tc>
        <w:tc>
          <w:tcPr>
            <w:tcW w:type="dxa" w:w="2808"/>
            <w:vAlign w:val="center"/>
          </w:tcPr>
          <w:p>
            <w:pPr>
              <w:spacing w:after="0"/>
            </w:pPr>
            <w:r/>
            <w:r>
              <w:rPr>
                <w:b w:val="0"/>
                <w:sz w:val="18"/>
              </w:rPr>
              <w:t>Implemented</w:t>
            </w:r>
          </w:p>
        </w:tc>
      </w:tr>
      <w:tr>
        <w:trPr>
          <w:cantSplit/>
        </w:trPr>
        <w:tc>
          <w:tcPr>
            <w:tcW w:type="dxa" w:w="2621"/>
            <w:vAlign w:val="center"/>
          </w:tcPr>
          <w:p>
            <w:pPr>
              <w:spacing w:after="0"/>
            </w:pPr>
            <w:r/>
            <w:r>
              <w:rPr>
                <w:b w:val="0"/>
                <w:sz w:val="18"/>
              </w:rPr>
              <w:t>Four advanced database concepts</w:t>
            </w:r>
          </w:p>
        </w:tc>
        <w:tc>
          <w:tcPr>
            <w:tcW w:type="dxa" w:w="3816"/>
            <w:vAlign w:val="center"/>
          </w:tcPr>
          <w:p>
            <w:pPr>
              <w:spacing w:after="0"/>
            </w:pPr>
            <w:r/>
            <w:r>
              <w:rPr>
                <w:b w:val="0"/>
                <w:sz w:val="18"/>
              </w:rPr>
              <w:t>Transactions, views, function, triggers, indexes, search</w:t>
            </w:r>
          </w:p>
        </w:tc>
        <w:tc>
          <w:tcPr>
            <w:tcW w:type="dxa" w:w="2808"/>
            <w:vAlign w:val="center"/>
          </w:tcPr>
          <w:p>
            <w:pPr>
              <w:spacing w:after="0"/>
            </w:pPr>
            <w:r/>
            <w:r>
              <w:rPr>
                <w:b w:val="0"/>
                <w:sz w:val="18"/>
              </w:rPr>
              <w:t>Implemented in SQL/code</w:t>
            </w:r>
          </w:p>
        </w:tc>
      </w:tr>
      <w:tr>
        <w:trPr>
          <w:cantSplit/>
        </w:trPr>
        <w:tc>
          <w:tcPr>
            <w:tcW w:type="dxa" w:w="2621"/>
            <w:vAlign w:val="center"/>
          </w:tcPr>
          <w:p>
            <w:pPr>
              <w:spacing w:after="0"/>
            </w:pPr>
            <w:r/>
            <w:r>
              <w:rPr>
                <w:b w:val="0"/>
                <w:sz w:val="18"/>
              </w:rPr>
              <w:t>Next.js interface and API</w:t>
            </w:r>
          </w:p>
        </w:tc>
        <w:tc>
          <w:tcPr>
            <w:tcW w:type="dxa" w:w="3816"/>
            <w:vAlign w:val="center"/>
          </w:tcPr>
          <w:p>
            <w:pPr>
              <w:spacing w:after="0"/>
            </w:pPr>
            <w:r/>
            <w:r>
              <w:rPr>
                <w:b w:val="0"/>
                <w:sz w:val="18"/>
              </w:rPr>
              <w:t>app/page.jsx, app/api and lib</w:t>
            </w:r>
          </w:p>
        </w:tc>
        <w:tc>
          <w:tcPr>
            <w:tcW w:type="dxa" w:w="2808"/>
            <w:vAlign w:val="center"/>
          </w:tcPr>
          <w:p>
            <w:pPr>
              <w:spacing w:after="0"/>
            </w:pPr>
            <w:r/>
            <w:r>
              <w:rPr>
                <w:b w:val="0"/>
                <w:sz w:val="18"/>
              </w:rPr>
              <w:t>Build verified</w:t>
            </w:r>
          </w:p>
        </w:tc>
      </w:tr>
      <w:tr>
        <w:trPr>
          <w:cantSplit/>
        </w:trPr>
        <w:tc>
          <w:tcPr>
            <w:tcW w:type="dxa" w:w="2621"/>
            <w:vAlign w:val="center"/>
          </w:tcPr>
          <w:p>
            <w:pPr>
              <w:spacing w:after="0"/>
            </w:pPr>
            <w:r/>
            <w:r>
              <w:rPr>
                <w:b w:val="0"/>
                <w:sz w:val="18"/>
              </w:rPr>
              <w:t>Two roles and secure passwords</w:t>
            </w:r>
          </w:p>
        </w:tc>
        <w:tc>
          <w:tcPr>
            <w:tcW w:type="dxa" w:w="3816"/>
            <w:vAlign w:val="center"/>
          </w:tcPr>
          <w:p>
            <w:pPr>
              <w:spacing w:after="0"/>
            </w:pPr>
            <w:r/>
            <w:r>
              <w:rPr>
                <w:b w:val="0"/>
                <w:sz w:val="18"/>
              </w:rPr>
              <w:t>Admin/member accounts, scrypt hashes, signed cookie</w:t>
            </w:r>
          </w:p>
        </w:tc>
        <w:tc>
          <w:tcPr>
            <w:tcW w:type="dxa" w:w="2808"/>
            <w:vAlign w:val="center"/>
          </w:tcPr>
          <w:p>
            <w:pPr>
              <w:spacing w:after="0"/>
            </w:pPr>
            <w:r/>
            <w:r>
              <w:rPr>
                <w:b w:val="0"/>
                <w:sz w:val="18"/>
              </w:rPr>
              <w:t>Implemented</w:t>
            </w:r>
          </w:p>
        </w:tc>
      </w:tr>
      <w:tr>
        <w:trPr>
          <w:cantSplit/>
        </w:trPr>
        <w:tc>
          <w:tcPr>
            <w:tcW w:type="dxa" w:w="2621"/>
            <w:vAlign w:val="center"/>
          </w:tcPr>
          <w:p>
            <w:pPr>
              <w:spacing w:after="0"/>
            </w:pPr>
            <w:r/>
            <w:r>
              <w:rPr>
                <w:b w:val="0"/>
                <w:sz w:val="18"/>
              </w:rPr>
              <w:t>Documentation, screenshots, test results, Git</w:t>
            </w:r>
          </w:p>
        </w:tc>
        <w:tc>
          <w:tcPr>
            <w:tcW w:type="dxa" w:w="3816"/>
            <w:vAlign w:val="center"/>
          </w:tcPr>
          <w:p>
            <w:pPr>
              <w:spacing w:after="0"/>
            </w:pPr>
            <w:r/>
            <w:r>
              <w:rPr>
                <w:b w:val="0"/>
                <w:sz w:val="18"/>
              </w:rPr>
              <w:t>This guide, README, tests and initialized Git</w:t>
            </w:r>
          </w:p>
        </w:tc>
        <w:tc>
          <w:tcPr>
            <w:tcW w:type="dxa" w:w="2808"/>
            <w:vAlign w:val="center"/>
          </w:tcPr>
          <w:p>
            <w:pPr>
              <w:spacing w:after="0"/>
            </w:pPr>
            <w:r/>
            <w:r>
              <w:rPr>
                <w:b w:val="0"/>
                <w:sz w:val="18"/>
              </w:rPr>
              <w:t>Screenshots and real commits pending</w:t>
            </w:r>
          </w:p>
        </w:tc>
      </w:tr>
    </w:tbl>
    <w:p>
      <w:pPr>
        <w:spacing w:after="0"/>
      </w:pPr>
    </w:p>
    <w:p>
      <w:pPr>
        <w:pStyle w:val="Heading1"/>
        <w:keepNext/>
      </w:pPr>
      <w:r>
        <w:t>3 System architecture</w:t>
      </w:r>
    </w:p>
    <w:p>
      <w:pPr>
        <w:keepLines/>
        <w:spacing w:after="140"/>
      </w:pPr>
      <w:r>
        <w:t>The browser calls Next.js Route Handlers. The handlers check the signed session and role, then call the domain logic. The domain logic uses parameterized SQL through the pg driver and wraps multi-step changes in transactions. The embedding service turns text into a 384-number vector; pgvector stores it and compares cosine distance for semantic search.</w:t>
      </w:r>
    </w:p>
    <w:p>
      <w:pPr>
        <w:spacing w:after="160" w:line="240" w:lineRule="auto"/>
        <w:ind w:left="317"/>
      </w:pPr>
      <w:r>
        <w:rPr>
          <w:rFonts w:ascii="Consolas" w:hAnsi="Consolas"/>
          <w:color w:val="172F41"/>
          <w:sz w:val="17"/>
        </w:rPr>
        <w:t>Browser (Next.js page) -&gt; API routes -&gt; validation and billing logic -&gt; PostgreSQL</w:t>
        <w:br/>
      </w:r>
      <w:r>
        <w:rPr>
          <w:rFonts w:ascii="Consolas" w:hAnsi="Consolas"/>
          <w:color w:val="172F41"/>
          <w:sz w:val="17"/>
        </w:rPr>
        <w:t>Search request -&gt; embedding service -&gt; pgvector similarity query</w:t>
        <w:br/>
      </w:r>
    </w:p>
    <w:tbl>
      <w:tblPr>
        <w:tblStyle w:val="TableGrid"/>
        <w:tblW w:type="auto" w:w="0"/>
        <w:jc w:val="center"/>
        <w:tblLayout w:type="fixed"/>
        <w:tblLook w:firstColumn="1" w:firstRow="1" w:lastColumn="0" w:lastRow="0" w:noHBand="0" w:noVBand="1" w:val="04A0"/>
      </w:tblPr>
      <w:tblGrid>
        <w:gridCol w:w="1656"/>
        <w:gridCol w:w="4032"/>
        <w:gridCol w:w="3557"/>
      </w:tblGrid>
      <w:tr>
        <w:trPr>
          <w:tblHeader w:val="true"/>
        </w:trPr>
        <w:tc>
          <w:tcPr>
            <w:tcW w:type="dxa" w:w="3312"/>
            <w:vAlign w:val="center"/>
            <w:shd w:fill="173E50"/>
          </w:tcPr>
          <w:p>
            <w:pPr>
              <w:spacing w:after="0"/>
            </w:pPr>
            <w:r/>
            <w:r>
              <w:rPr>
                <w:b/>
                <w:color w:val="FFFFFF"/>
                <w:sz w:val="18"/>
              </w:rPr>
              <w:t>Part</w:t>
            </w:r>
          </w:p>
        </w:tc>
        <w:tc>
          <w:tcPr>
            <w:tcW w:type="dxa" w:w="3312"/>
            <w:vAlign w:val="center"/>
            <w:shd w:fill="173E50"/>
          </w:tcPr>
          <w:p>
            <w:pPr>
              <w:spacing w:after="0"/>
            </w:pPr>
            <w:r/>
            <w:r>
              <w:rPr>
                <w:b/>
                <w:color w:val="FFFFFF"/>
                <w:sz w:val="18"/>
              </w:rPr>
              <w:t>Responsibility</w:t>
            </w:r>
          </w:p>
        </w:tc>
        <w:tc>
          <w:tcPr>
            <w:tcW w:type="dxa" w:w="3312"/>
            <w:vAlign w:val="center"/>
            <w:shd w:fill="173E50"/>
          </w:tcPr>
          <w:p>
            <w:pPr>
              <w:spacing w:after="0"/>
            </w:pPr>
            <w:r/>
            <w:r>
              <w:rPr>
                <w:b/>
                <w:color w:val="FFFFFF"/>
                <w:sz w:val="18"/>
              </w:rPr>
              <w:t>Main files</w:t>
            </w:r>
          </w:p>
        </w:tc>
      </w:tr>
      <w:tr>
        <w:trPr>
          <w:cantSplit/>
        </w:trPr>
        <w:tc>
          <w:tcPr>
            <w:tcW w:type="dxa" w:w="1656"/>
            <w:vAlign w:val="center"/>
          </w:tcPr>
          <w:p>
            <w:pPr>
              <w:spacing w:after="0"/>
            </w:pPr>
            <w:r/>
            <w:r>
              <w:rPr>
                <w:b w:val="0"/>
                <w:sz w:val="18"/>
              </w:rPr>
              <w:t>Interface</w:t>
            </w:r>
          </w:p>
        </w:tc>
        <w:tc>
          <w:tcPr>
            <w:tcW w:type="dxa" w:w="4032"/>
            <w:vAlign w:val="center"/>
          </w:tcPr>
          <w:p>
            <w:pPr>
              <w:spacing w:after="0"/>
            </w:pPr>
            <w:r/>
            <w:r>
              <w:rPr>
                <w:b w:val="0"/>
                <w:sz w:val="18"/>
              </w:rPr>
              <w:t>Forms, tables, dashboard, reports and search</w:t>
            </w:r>
          </w:p>
        </w:tc>
        <w:tc>
          <w:tcPr>
            <w:tcW w:type="dxa" w:w="3557"/>
            <w:vAlign w:val="center"/>
          </w:tcPr>
          <w:p>
            <w:pPr>
              <w:spacing w:after="0"/>
            </w:pPr>
            <w:r/>
            <w:r>
              <w:rPr>
                <w:b w:val="0"/>
                <w:sz w:val="18"/>
              </w:rPr>
              <w:t>app/page.jsx; app/styles.css</w:t>
            </w:r>
          </w:p>
        </w:tc>
      </w:tr>
      <w:tr>
        <w:trPr>
          <w:cantSplit/>
        </w:trPr>
        <w:tc>
          <w:tcPr>
            <w:tcW w:type="dxa" w:w="1656"/>
            <w:vAlign w:val="center"/>
          </w:tcPr>
          <w:p>
            <w:pPr>
              <w:spacing w:after="0"/>
            </w:pPr>
            <w:r/>
            <w:r>
              <w:rPr>
                <w:b w:val="0"/>
                <w:sz w:val="18"/>
              </w:rPr>
              <w:t>API</w:t>
            </w:r>
          </w:p>
        </w:tc>
        <w:tc>
          <w:tcPr>
            <w:tcW w:type="dxa" w:w="4032"/>
            <w:vAlign w:val="center"/>
          </w:tcPr>
          <w:p>
            <w:pPr>
              <w:spacing w:after="0"/>
            </w:pPr>
            <w:r/>
            <w:r>
              <w:rPr>
                <w:b w:val="0"/>
                <w:sz w:val="18"/>
              </w:rPr>
              <w:t>Login, data, changes, search and receipt upload</w:t>
            </w:r>
          </w:p>
        </w:tc>
        <w:tc>
          <w:tcPr>
            <w:tcW w:type="dxa" w:w="3557"/>
            <w:vAlign w:val="center"/>
          </w:tcPr>
          <w:p>
            <w:pPr>
              <w:spacing w:after="0"/>
            </w:pPr>
            <w:r/>
            <w:r>
              <w:rPr>
                <w:b w:val="0"/>
                <w:sz w:val="18"/>
              </w:rPr>
              <w:t>app/api/*/route.js</w:t>
            </w:r>
          </w:p>
        </w:tc>
      </w:tr>
      <w:tr>
        <w:trPr>
          <w:cantSplit/>
        </w:trPr>
        <w:tc>
          <w:tcPr>
            <w:tcW w:type="dxa" w:w="1656"/>
            <w:vAlign w:val="center"/>
          </w:tcPr>
          <w:p>
            <w:pPr>
              <w:spacing w:after="0"/>
            </w:pPr>
            <w:r/>
            <w:r>
              <w:rPr>
                <w:b w:val="0"/>
                <w:sz w:val="18"/>
              </w:rPr>
              <w:t>Domain logic</w:t>
            </w:r>
          </w:p>
        </w:tc>
        <w:tc>
          <w:tcPr>
            <w:tcW w:type="dxa" w:w="4032"/>
            <w:vAlign w:val="center"/>
          </w:tcPr>
          <w:p>
            <w:pPr>
              <w:spacing w:after="0"/>
            </w:pPr>
            <w:r/>
            <w:r>
              <w:rPr>
                <w:b w:val="0"/>
                <w:sz w:val="18"/>
              </w:rPr>
              <w:t>Bill, expense, payment and settlement rules</w:t>
            </w:r>
          </w:p>
        </w:tc>
        <w:tc>
          <w:tcPr>
            <w:tcW w:type="dxa" w:w="3557"/>
            <w:vAlign w:val="center"/>
          </w:tcPr>
          <w:p>
            <w:pPr>
              <w:spacing w:after="0"/>
            </w:pPr>
            <w:r/>
            <w:r>
              <w:rPr>
                <w:b w:val="0"/>
                <w:sz w:val="18"/>
              </w:rPr>
              <w:t>lib/logic.js; lib/calculation.js</w:t>
            </w:r>
          </w:p>
        </w:tc>
      </w:tr>
      <w:tr>
        <w:trPr>
          <w:cantSplit/>
        </w:trPr>
        <w:tc>
          <w:tcPr>
            <w:tcW w:type="dxa" w:w="1656"/>
            <w:vAlign w:val="center"/>
          </w:tcPr>
          <w:p>
            <w:pPr>
              <w:spacing w:after="0"/>
            </w:pPr>
            <w:r/>
            <w:r>
              <w:rPr>
                <w:b w:val="0"/>
                <w:sz w:val="18"/>
              </w:rPr>
              <w:t>Database</w:t>
            </w:r>
          </w:p>
        </w:tc>
        <w:tc>
          <w:tcPr>
            <w:tcW w:type="dxa" w:w="4032"/>
            <w:vAlign w:val="center"/>
          </w:tcPr>
          <w:p>
            <w:pPr>
              <w:spacing w:after="0"/>
            </w:pPr>
            <w:r/>
            <w:r>
              <w:rPr>
                <w:b w:val="0"/>
                <w:sz w:val="18"/>
              </w:rPr>
              <w:t>Tables, keys, checks, views, functions and triggers</w:t>
            </w:r>
          </w:p>
        </w:tc>
        <w:tc>
          <w:tcPr>
            <w:tcW w:type="dxa" w:w="3557"/>
            <w:vAlign w:val="center"/>
          </w:tcPr>
          <w:p>
            <w:pPr>
              <w:spacing w:after="0"/>
            </w:pPr>
            <w:r/>
            <w:r>
              <w:rPr>
                <w:b w:val="0"/>
                <w:sz w:val="18"/>
              </w:rPr>
              <w:t>database/schema.sql</w:t>
            </w:r>
          </w:p>
        </w:tc>
      </w:tr>
      <w:tr>
        <w:trPr>
          <w:cantSplit/>
        </w:trPr>
        <w:tc>
          <w:tcPr>
            <w:tcW w:type="dxa" w:w="1656"/>
            <w:vAlign w:val="center"/>
          </w:tcPr>
          <w:p>
            <w:pPr>
              <w:spacing w:after="0"/>
            </w:pPr>
            <w:r/>
            <w:r>
              <w:rPr>
                <w:b w:val="0"/>
                <w:sz w:val="18"/>
              </w:rPr>
              <w:t>Vector service</w:t>
            </w:r>
          </w:p>
        </w:tc>
        <w:tc>
          <w:tcPr>
            <w:tcW w:type="dxa" w:w="4032"/>
            <w:vAlign w:val="center"/>
          </w:tcPr>
          <w:p>
            <w:pPr>
              <w:spacing w:after="0"/>
            </w:pPr>
            <w:r/>
            <w:r>
              <w:rPr>
                <w:b w:val="0"/>
                <w:sz w:val="18"/>
              </w:rPr>
              <w:t>MiniLM embeddings for document text</w:t>
            </w:r>
          </w:p>
        </w:tc>
        <w:tc>
          <w:tcPr>
            <w:tcW w:type="dxa" w:w="3557"/>
            <w:vAlign w:val="center"/>
          </w:tcPr>
          <w:p>
            <w:pPr>
              <w:spacing w:after="0"/>
            </w:pPr>
            <w:r/>
            <w:r>
              <w:rPr>
                <w:b w:val="0"/>
                <w:sz w:val="18"/>
              </w:rPr>
              <w:t>embedding-service/app.py</w:t>
            </w:r>
          </w:p>
        </w:tc>
      </w:tr>
    </w:tbl>
    <w:p>
      <w:pPr>
        <w:spacing w:after="0"/>
      </w:pPr>
    </w:p>
    <w:p>
      <w:pPr>
        <w:pStyle w:val="Heading1"/>
        <w:keepNext/>
      </w:pPr>
      <w:r>
        <w:t>4 Database design</w:t>
      </w:r>
    </w:p>
    <w:p>
      <w:pPr>
        <w:keepLines/>
        <w:spacing w:after="140"/>
      </w:pPr>
      <w:r>
        <w:t>The source PDF defines 16 entities. The implementation keeps those entities and adds bill_share so each calculated utility allocation is stored, visible and auditable. The image below shows the main relationships; the table dictionary covers the supporting entities as well.</w:t>
      </w:r>
    </w:p>
    <w:p>
      <w:pPr>
        <w:jc w:val="center"/>
      </w:pPr>
      <w:r>
        <w:drawing>
          <wp:inline xmlns:a="http://schemas.openxmlformats.org/drawingml/2006/main" xmlns:pic="http://schemas.openxmlformats.org/drawingml/2006/picture">
            <wp:extent cx="6126480" cy="3148330"/>
            <wp:docPr id="1" name="Picture 1"/>
            <wp:cNvGraphicFramePr>
              <a:graphicFrameLocks noChangeAspect="1"/>
            </wp:cNvGraphicFramePr>
            <a:graphic>
              <a:graphicData uri="http://schemas.openxmlformats.org/drawingml/2006/picture">
                <pic:pic>
                  <pic:nvPicPr>
                    <pic:cNvPr id="0" name="core_er.png"/>
                    <pic:cNvPicPr/>
                  </pic:nvPicPr>
                  <pic:blipFill>
                    <a:blip r:embed="rId10"/>
                    <a:stretch>
                      <a:fillRect/>
                    </a:stretch>
                  </pic:blipFill>
                  <pic:spPr>
                    <a:xfrm>
                      <a:off x="0" y="0"/>
                      <a:ext cx="6126480" cy="3148330"/>
                    </a:xfrm>
                    <a:prstGeom prst="rect"/>
                  </pic:spPr>
                </pic:pic>
              </a:graphicData>
            </a:graphic>
          </wp:inline>
        </w:drawing>
      </w:r>
    </w:p>
    <w:p>
      <w:pPr>
        <w:keepLines/>
        <w:spacing w:after="140"/>
      </w:pPr>
      <w:r>
        <w:t>In the diagram, a household has occupancy periods, cycles and slab rates. A cycle contains bills. Each bill has slab breakdown rows and occupant bill-share rows. Occupancy connects each occupant to the household and supplies the day count.</w:t>
      </w:r>
    </w:p>
    <w:p>
      <w:pPr>
        <w:pStyle w:val="Heading2"/>
        <w:keepNext/>
      </w:pPr>
      <w:r>
        <w:t>Relational schema and data dictionary</w:t>
      </w:r>
    </w:p>
    <w:tbl>
      <w:tblPr>
        <w:tblStyle w:val="TableGrid"/>
        <w:tblW w:type="auto" w:w="0"/>
        <w:jc w:val="center"/>
        <w:tblLayout w:type="fixed"/>
        <w:tblLook w:firstColumn="1" w:firstRow="1" w:lastColumn="0" w:lastRow="0" w:noHBand="0" w:noVBand="1" w:val="04A0"/>
      </w:tblPr>
      <w:tblGrid>
        <w:gridCol w:w="1944"/>
        <w:gridCol w:w="3672"/>
        <w:gridCol w:w="3629"/>
      </w:tblGrid>
      <w:tr>
        <w:trPr>
          <w:tblHeader w:val="true"/>
        </w:trPr>
        <w:tc>
          <w:tcPr>
            <w:tcW w:type="dxa" w:w="3312"/>
            <w:vAlign w:val="center"/>
            <w:shd w:fill="173E50"/>
          </w:tcPr>
          <w:p>
            <w:pPr>
              <w:spacing w:after="0"/>
            </w:pPr>
            <w:r/>
            <w:r>
              <w:rPr>
                <w:b/>
                <w:color w:val="FFFFFF"/>
                <w:sz w:val="18"/>
              </w:rPr>
              <w:t>Table</w:t>
            </w:r>
          </w:p>
        </w:tc>
        <w:tc>
          <w:tcPr>
            <w:tcW w:type="dxa" w:w="3312"/>
            <w:vAlign w:val="center"/>
            <w:shd w:fill="173E50"/>
          </w:tcPr>
          <w:p>
            <w:pPr>
              <w:spacing w:after="0"/>
            </w:pPr>
            <w:r/>
            <w:r>
              <w:rPr>
                <w:b/>
                <w:color w:val="FFFFFF"/>
                <w:sz w:val="18"/>
              </w:rPr>
              <w:t>Key and relationship</w:t>
            </w:r>
          </w:p>
        </w:tc>
        <w:tc>
          <w:tcPr>
            <w:tcW w:type="dxa" w:w="3312"/>
            <w:vAlign w:val="center"/>
            <w:shd w:fill="173E50"/>
          </w:tcPr>
          <w:p>
            <w:pPr>
              <w:spacing w:after="0"/>
            </w:pPr>
            <w:r/>
            <w:r>
              <w:rPr>
                <w:b/>
                <w:color w:val="FFFFFF"/>
                <w:sz w:val="18"/>
              </w:rPr>
              <w:t>What it stores</w:t>
            </w:r>
          </w:p>
        </w:tc>
      </w:tr>
      <w:tr>
        <w:trPr>
          <w:cantSplit/>
        </w:trPr>
        <w:tc>
          <w:tcPr>
            <w:tcW w:type="dxa" w:w="1944"/>
            <w:vAlign w:val="center"/>
          </w:tcPr>
          <w:p>
            <w:pPr>
              <w:spacing w:after="0"/>
            </w:pPr>
            <w:r/>
            <w:r>
              <w:rPr>
                <w:b w:val="0"/>
                <w:sz w:val="18"/>
              </w:rPr>
              <w:t>household</w:t>
            </w:r>
          </w:p>
        </w:tc>
        <w:tc>
          <w:tcPr>
            <w:tcW w:type="dxa" w:w="3672"/>
            <w:vAlign w:val="center"/>
          </w:tcPr>
          <w:p>
            <w:pPr>
              <w:spacing w:after="0"/>
            </w:pPr>
            <w:r/>
            <w:r>
              <w:rPr>
                <w:b w:val="0"/>
                <w:sz w:val="18"/>
              </w:rPr>
              <w:t>household_id PK</w:t>
            </w:r>
          </w:p>
        </w:tc>
        <w:tc>
          <w:tcPr>
            <w:tcW w:type="dxa" w:w="3629"/>
            <w:vAlign w:val="center"/>
          </w:tcPr>
          <w:p>
            <w:pPr>
              <w:spacing w:after="0"/>
            </w:pPr>
            <w:r/>
            <w:r>
              <w:rPr>
                <w:b w:val="0"/>
                <w:sz w:val="18"/>
              </w:rPr>
              <w:t>Flat name, address, city, rooms and currency</w:t>
            </w:r>
          </w:p>
        </w:tc>
      </w:tr>
      <w:tr>
        <w:trPr>
          <w:cantSplit/>
        </w:trPr>
        <w:tc>
          <w:tcPr>
            <w:tcW w:type="dxa" w:w="1944"/>
            <w:vAlign w:val="center"/>
          </w:tcPr>
          <w:p>
            <w:pPr>
              <w:spacing w:after="0"/>
            </w:pPr>
            <w:r/>
            <w:r>
              <w:rPr>
                <w:b w:val="0"/>
                <w:sz w:val="18"/>
              </w:rPr>
              <w:t>occupant</w:t>
            </w:r>
          </w:p>
        </w:tc>
        <w:tc>
          <w:tcPr>
            <w:tcW w:type="dxa" w:w="3672"/>
            <w:vAlign w:val="center"/>
          </w:tcPr>
          <w:p>
            <w:pPr>
              <w:spacing w:after="0"/>
            </w:pPr>
            <w:r/>
            <w:r>
              <w:rPr>
                <w:b w:val="0"/>
                <w:sz w:val="18"/>
              </w:rPr>
              <w:t>occupant_id PK</w:t>
            </w:r>
          </w:p>
        </w:tc>
        <w:tc>
          <w:tcPr>
            <w:tcW w:type="dxa" w:w="3629"/>
            <w:vAlign w:val="center"/>
          </w:tcPr>
          <w:p>
            <w:pPr>
              <w:spacing w:after="0"/>
            </w:pPr>
            <w:r/>
            <w:r>
              <w:rPr>
                <w:b w:val="0"/>
                <w:sz w:val="18"/>
              </w:rPr>
              <w:t>Person, contact and optional UPI details</w:t>
            </w:r>
          </w:p>
        </w:tc>
      </w:tr>
      <w:tr>
        <w:trPr>
          <w:cantSplit/>
        </w:trPr>
        <w:tc>
          <w:tcPr>
            <w:tcW w:type="dxa" w:w="1944"/>
            <w:vAlign w:val="center"/>
          </w:tcPr>
          <w:p>
            <w:pPr>
              <w:spacing w:after="0"/>
            </w:pPr>
            <w:r/>
            <w:r>
              <w:rPr>
                <w:b w:val="0"/>
                <w:sz w:val="18"/>
              </w:rPr>
              <w:t>occupancy</w:t>
            </w:r>
          </w:p>
        </w:tc>
        <w:tc>
          <w:tcPr>
            <w:tcW w:type="dxa" w:w="3672"/>
            <w:vAlign w:val="center"/>
          </w:tcPr>
          <w:p>
            <w:pPr>
              <w:spacing w:after="0"/>
            </w:pPr>
            <w:r/>
            <w:r>
              <w:rPr>
                <w:b w:val="0"/>
                <w:sz w:val="18"/>
              </w:rPr>
              <w:t>occupancy_id PK; household_id and occupant_id FK</w:t>
            </w:r>
          </w:p>
        </w:tc>
        <w:tc>
          <w:tcPr>
            <w:tcW w:type="dxa" w:w="3629"/>
            <w:vAlign w:val="center"/>
          </w:tcPr>
          <w:p>
            <w:pPr>
              <w:spacing w:after="0"/>
            </w:pPr>
            <w:r/>
            <w:r>
              <w:rPr>
                <w:b w:val="0"/>
                <w:sz w:val="18"/>
              </w:rPr>
              <w:t>Move dates, room and rent weight</w:t>
            </w:r>
          </w:p>
        </w:tc>
      </w:tr>
      <w:tr>
        <w:trPr>
          <w:cantSplit/>
        </w:trPr>
        <w:tc>
          <w:tcPr>
            <w:tcW w:type="dxa" w:w="1944"/>
            <w:vAlign w:val="center"/>
          </w:tcPr>
          <w:p>
            <w:pPr>
              <w:spacing w:after="0"/>
            </w:pPr>
            <w:r/>
            <w:r>
              <w:rPr>
                <w:b w:val="0"/>
                <w:sz w:val="18"/>
              </w:rPr>
              <w:t>bill_cycle</w:t>
            </w:r>
          </w:p>
        </w:tc>
        <w:tc>
          <w:tcPr>
            <w:tcW w:type="dxa" w:w="3672"/>
            <w:vAlign w:val="center"/>
          </w:tcPr>
          <w:p>
            <w:pPr>
              <w:spacing w:after="0"/>
            </w:pPr>
            <w:r/>
            <w:r>
              <w:rPr>
                <w:b w:val="0"/>
                <w:sz w:val="18"/>
              </w:rPr>
              <w:t>cycle_id PK; household_id FK</w:t>
            </w:r>
          </w:p>
        </w:tc>
        <w:tc>
          <w:tcPr>
            <w:tcW w:type="dxa" w:w="3629"/>
            <w:vAlign w:val="center"/>
          </w:tcPr>
          <w:p>
            <w:pPr>
              <w:spacing w:after="0"/>
            </w:pPr>
            <w:r/>
            <w:r>
              <w:rPr>
                <w:b w:val="0"/>
                <w:sz w:val="18"/>
              </w:rPr>
              <w:t>Start/end dates, due date and status</w:t>
            </w:r>
          </w:p>
        </w:tc>
      </w:tr>
      <w:tr>
        <w:trPr>
          <w:cantSplit/>
        </w:trPr>
        <w:tc>
          <w:tcPr>
            <w:tcW w:type="dxa" w:w="1944"/>
            <w:vAlign w:val="center"/>
          </w:tcPr>
          <w:p>
            <w:pPr>
              <w:spacing w:after="0"/>
            </w:pPr>
            <w:r/>
            <w:r>
              <w:rPr>
                <w:b w:val="0"/>
                <w:sz w:val="18"/>
              </w:rPr>
              <w:t>slab_rate</w:t>
            </w:r>
          </w:p>
        </w:tc>
        <w:tc>
          <w:tcPr>
            <w:tcW w:type="dxa" w:w="3672"/>
            <w:vAlign w:val="center"/>
          </w:tcPr>
          <w:p>
            <w:pPr>
              <w:spacing w:after="0"/>
            </w:pPr>
            <w:r/>
            <w:r>
              <w:rPr>
                <w:b w:val="0"/>
                <w:sz w:val="18"/>
              </w:rPr>
              <w:t>slab_rate_id PK; household_id FK</w:t>
            </w:r>
          </w:p>
        </w:tc>
        <w:tc>
          <w:tcPr>
            <w:tcW w:type="dxa" w:w="3629"/>
            <w:vAlign w:val="center"/>
          </w:tcPr>
          <w:p>
            <w:pPr>
              <w:spacing w:after="0"/>
            </w:pPr>
            <w:r/>
            <w:r>
              <w:rPr>
                <w:b w:val="0"/>
                <w:sz w:val="18"/>
              </w:rPr>
              <w:t>Utility unit range, rate and effective dates</w:t>
            </w:r>
          </w:p>
        </w:tc>
      </w:tr>
      <w:tr>
        <w:trPr>
          <w:cantSplit/>
        </w:trPr>
        <w:tc>
          <w:tcPr>
            <w:tcW w:type="dxa" w:w="1944"/>
            <w:vAlign w:val="center"/>
          </w:tcPr>
          <w:p>
            <w:pPr>
              <w:spacing w:after="0"/>
            </w:pPr>
            <w:r/>
            <w:r>
              <w:rPr>
                <w:b w:val="0"/>
                <w:sz w:val="18"/>
              </w:rPr>
              <w:t>bill</w:t>
            </w:r>
          </w:p>
        </w:tc>
        <w:tc>
          <w:tcPr>
            <w:tcW w:type="dxa" w:w="3672"/>
            <w:vAlign w:val="center"/>
          </w:tcPr>
          <w:p>
            <w:pPr>
              <w:spacing w:after="0"/>
            </w:pPr>
            <w:r/>
            <w:r>
              <w:rPr>
                <w:b w:val="0"/>
                <w:sz w:val="18"/>
              </w:rPr>
              <w:t>bill_id PK; cycle_id FK</w:t>
            </w:r>
          </w:p>
        </w:tc>
        <w:tc>
          <w:tcPr>
            <w:tcW w:type="dxa" w:w="3629"/>
            <w:vAlign w:val="center"/>
          </w:tcPr>
          <w:p>
            <w:pPr>
              <w:spacing w:after="0"/>
            </w:pPr>
            <w:r/>
            <w:r>
              <w:rPr>
                <w:b w:val="0"/>
                <w:sz w:val="18"/>
              </w:rPr>
              <w:t>Readings, units and calculated charge</w:t>
            </w:r>
          </w:p>
        </w:tc>
      </w:tr>
      <w:tr>
        <w:trPr>
          <w:cantSplit/>
        </w:trPr>
        <w:tc>
          <w:tcPr>
            <w:tcW w:type="dxa" w:w="1944"/>
            <w:vAlign w:val="center"/>
          </w:tcPr>
          <w:p>
            <w:pPr>
              <w:spacing w:after="0"/>
            </w:pPr>
            <w:r/>
            <w:r>
              <w:rPr>
                <w:b w:val="0"/>
                <w:sz w:val="18"/>
              </w:rPr>
              <w:t>bill_slab_breakdown</w:t>
            </w:r>
          </w:p>
        </w:tc>
        <w:tc>
          <w:tcPr>
            <w:tcW w:type="dxa" w:w="3672"/>
            <w:vAlign w:val="center"/>
          </w:tcPr>
          <w:p>
            <w:pPr>
              <w:spacing w:after="0"/>
            </w:pPr>
            <w:r/>
            <w:r>
              <w:rPr>
                <w:b w:val="0"/>
                <w:sz w:val="18"/>
              </w:rPr>
              <w:t>breakdown_id PK; bill_id and slab_rate_id FK</w:t>
            </w:r>
          </w:p>
        </w:tc>
        <w:tc>
          <w:tcPr>
            <w:tcW w:type="dxa" w:w="3629"/>
            <w:vAlign w:val="center"/>
          </w:tcPr>
          <w:p>
            <w:pPr>
              <w:spacing w:after="0"/>
            </w:pPr>
            <w:r/>
            <w:r>
              <w:rPr>
                <w:b w:val="0"/>
                <w:sz w:val="18"/>
              </w:rPr>
              <w:t>Units and cost in each applied slab</w:t>
            </w:r>
          </w:p>
        </w:tc>
      </w:tr>
      <w:tr>
        <w:trPr>
          <w:cantSplit/>
        </w:trPr>
        <w:tc>
          <w:tcPr>
            <w:tcW w:type="dxa" w:w="1944"/>
            <w:vAlign w:val="center"/>
          </w:tcPr>
          <w:p>
            <w:pPr>
              <w:spacing w:after="0"/>
            </w:pPr>
            <w:r/>
            <w:r>
              <w:rPr>
                <w:b w:val="0"/>
                <w:sz w:val="18"/>
              </w:rPr>
              <w:t>bill_share</w:t>
            </w:r>
          </w:p>
        </w:tc>
        <w:tc>
          <w:tcPr>
            <w:tcW w:type="dxa" w:w="3672"/>
            <w:vAlign w:val="center"/>
          </w:tcPr>
          <w:p>
            <w:pPr>
              <w:spacing w:after="0"/>
            </w:pPr>
            <w:r/>
            <w:r>
              <w:rPr>
                <w:b w:val="0"/>
                <w:sz w:val="18"/>
              </w:rPr>
              <w:t>bill_id + occupant_id PK and FK</w:t>
            </w:r>
          </w:p>
        </w:tc>
        <w:tc>
          <w:tcPr>
            <w:tcW w:type="dxa" w:w="3629"/>
            <w:vAlign w:val="center"/>
          </w:tcPr>
          <w:p>
            <w:pPr>
              <w:spacing w:after="0"/>
            </w:pPr>
            <w:r/>
            <w:r>
              <w:rPr>
                <w:b w:val="0"/>
                <w:sz w:val="18"/>
              </w:rPr>
              <w:t>Added stored share and applicable days</w:t>
            </w:r>
          </w:p>
        </w:tc>
      </w:tr>
      <w:tr>
        <w:trPr>
          <w:cantSplit/>
        </w:trPr>
        <w:tc>
          <w:tcPr>
            <w:tcW w:type="dxa" w:w="1944"/>
            <w:vAlign w:val="center"/>
          </w:tcPr>
          <w:p>
            <w:pPr>
              <w:spacing w:after="0"/>
            </w:pPr>
            <w:r/>
            <w:r>
              <w:rPr>
                <w:b w:val="0"/>
                <w:sz w:val="18"/>
              </w:rPr>
              <w:t>expense</w:t>
            </w:r>
          </w:p>
        </w:tc>
        <w:tc>
          <w:tcPr>
            <w:tcW w:type="dxa" w:w="3672"/>
            <w:vAlign w:val="center"/>
          </w:tcPr>
          <w:p>
            <w:pPr>
              <w:spacing w:after="0"/>
            </w:pPr>
            <w:r/>
            <w:r>
              <w:rPr>
                <w:b w:val="0"/>
                <w:sz w:val="18"/>
              </w:rPr>
              <w:t>expense_id PK; household, cycle, payer FK</w:t>
            </w:r>
          </w:p>
        </w:tc>
        <w:tc>
          <w:tcPr>
            <w:tcW w:type="dxa" w:w="3629"/>
            <w:vAlign w:val="center"/>
          </w:tcPr>
          <w:p>
            <w:pPr>
              <w:spacing w:after="0"/>
            </w:pPr>
            <w:r/>
            <w:r>
              <w:rPr>
                <w:b w:val="0"/>
                <w:sz w:val="18"/>
              </w:rPr>
              <w:t>Description, category, amount and date</w:t>
            </w:r>
          </w:p>
        </w:tc>
      </w:tr>
      <w:tr>
        <w:trPr>
          <w:cantSplit/>
        </w:trPr>
        <w:tc>
          <w:tcPr>
            <w:tcW w:type="dxa" w:w="1944"/>
            <w:vAlign w:val="center"/>
          </w:tcPr>
          <w:p>
            <w:pPr>
              <w:spacing w:after="0"/>
            </w:pPr>
            <w:r/>
            <w:r>
              <w:rPr>
                <w:b w:val="0"/>
                <w:sz w:val="18"/>
              </w:rPr>
              <w:t>expense_share</w:t>
            </w:r>
          </w:p>
        </w:tc>
        <w:tc>
          <w:tcPr>
            <w:tcW w:type="dxa" w:w="3672"/>
            <w:vAlign w:val="center"/>
          </w:tcPr>
          <w:p>
            <w:pPr>
              <w:spacing w:after="0"/>
            </w:pPr>
            <w:r/>
            <w:r>
              <w:rPr>
                <w:b w:val="0"/>
                <w:sz w:val="18"/>
              </w:rPr>
              <w:t>share_id PK; expense_id and occupant_id FK</w:t>
            </w:r>
          </w:p>
        </w:tc>
        <w:tc>
          <w:tcPr>
            <w:tcW w:type="dxa" w:w="3629"/>
            <w:vAlign w:val="center"/>
          </w:tcPr>
          <w:p>
            <w:pPr>
              <w:spacing w:after="0"/>
            </w:pPr>
            <w:r/>
            <w:r>
              <w:rPr>
                <w:b w:val="0"/>
                <w:sz w:val="18"/>
              </w:rPr>
              <w:t>Each person's expense portion</w:t>
            </w:r>
          </w:p>
        </w:tc>
      </w:tr>
      <w:tr>
        <w:trPr>
          <w:cantSplit/>
        </w:trPr>
        <w:tc>
          <w:tcPr>
            <w:tcW w:type="dxa" w:w="1944"/>
            <w:vAlign w:val="center"/>
          </w:tcPr>
          <w:p>
            <w:pPr>
              <w:spacing w:after="0"/>
            </w:pPr>
            <w:r/>
            <w:r>
              <w:rPr>
                <w:b w:val="0"/>
                <w:sz w:val="18"/>
              </w:rPr>
              <w:t>payment</w:t>
            </w:r>
          </w:p>
        </w:tc>
        <w:tc>
          <w:tcPr>
            <w:tcW w:type="dxa" w:w="3672"/>
            <w:vAlign w:val="center"/>
          </w:tcPr>
          <w:p>
            <w:pPr>
              <w:spacing w:after="0"/>
            </w:pPr>
            <w:r/>
            <w:r>
              <w:rPr>
                <w:b w:val="0"/>
                <w:sz w:val="18"/>
              </w:rPr>
              <w:t>payment_id PK; bill or expense, occupant FK</w:t>
            </w:r>
          </w:p>
        </w:tc>
        <w:tc>
          <w:tcPr>
            <w:tcW w:type="dxa" w:w="3629"/>
            <w:vAlign w:val="center"/>
          </w:tcPr>
          <w:p>
            <w:pPr>
              <w:spacing w:after="0"/>
            </w:pPr>
            <w:r/>
            <w:r>
              <w:rPr>
                <w:b w:val="0"/>
                <w:sz w:val="18"/>
              </w:rPr>
              <w:t>Amount, payer, date, mode and reference</w:t>
            </w:r>
          </w:p>
        </w:tc>
      </w:tr>
      <w:tr>
        <w:trPr>
          <w:cantSplit/>
        </w:trPr>
        <w:tc>
          <w:tcPr>
            <w:tcW w:type="dxa" w:w="1944"/>
            <w:vAlign w:val="center"/>
          </w:tcPr>
          <w:p>
            <w:pPr>
              <w:spacing w:after="0"/>
            </w:pPr>
            <w:r/>
            <w:r>
              <w:rPr>
                <w:b w:val="0"/>
                <w:sz w:val="18"/>
              </w:rPr>
              <w:t>settlement</w:t>
            </w:r>
          </w:p>
        </w:tc>
        <w:tc>
          <w:tcPr>
            <w:tcW w:type="dxa" w:w="3672"/>
            <w:vAlign w:val="center"/>
          </w:tcPr>
          <w:p>
            <w:pPr>
              <w:spacing w:after="0"/>
            </w:pPr>
            <w:r/>
            <w:r>
              <w:rPr>
                <w:b w:val="0"/>
                <w:sz w:val="18"/>
              </w:rPr>
              <w:t>settlement_id PK; cycle and two occupants FK</w:t>
            </w:r>
          </w:p>
        </w:tc>
        <w:tc>
          <w:tcPr>
            <w:tcW w:type="dxa" w:w="3629"/>
            <w:vAlign w:val="center"/>
          </w:tcPr>
          <w:p>
            <w:pPr>
              <w:spacing w:after="0"/>
            </w:pPr>
            <w:r/>
            <w:r>
              <w:rPr>
                <w:b w:val="0"/>
                <w:sz w:val="18"/>
              </w:rPr>
              <w:t>Suggested transfer and status</w:t>
            </w:r>
          </w:p>
        </w:tc>
      </w:tr>
      <w:tr>
        <w:trPr>
          <w:cantSplit/>
        </w:trPr>
        <w:tc>
          <w:tcPr>
            <w:tcW w:type="dxa" w:w="1944"/>
            <w:vAlign w:val="center"/>
          </w:tcPr>
          <w:p>
            <w:pPr>
              <w:spacing w:after="0"/>
            </w:pPr>
            <w:r/>
            <w:r>
              <w:rPr>
                <w:b w:val="0"/>
                <w:sz w:val="18"/>
              </w:rPr>
              <w:t>role</w:t>
            </w:r>
          </w:p>
        </w:tc>
        <w:tc>
          <w:tcPr>
            <w:tcW w:type="dxa" w:w="3672"/>
            <w:vAlign w:val="center"/>
          </w:tcPr>
          <w:p>
            <w:pPr>
              <w:spacing w:after="0"/>
            </w:pPr>
            <w:r/>
            <w:r>
              <w:rPr>
                <w:b w:val="0"/>
                <w:sz w:val="18"/>
              </w:rPr>
              <w:t>role_id PK</w:t>
            </w:r>
          </w:p>
        </w:tc>
        <w:tc>
          <w:tcPr>
            <w:tcW w:type="dxa" w:w="3629"/>
            <w:vAlign w:val="center"/>
          </w:tcPr>
          <w:p>
            <w:pPr>
              <w:spacing w:after="0"/>
            </w:pPr>
            <w:r/>
            <w:r>
              <w:rPr>
                <w:b w:val="0"/>
                <w:sz w:val="18"/>
              </w:rPr>
              <w:t>Admin and member roles</w:t>
            </w:r>
          </w:p>
        </w:tc>
      </w:tr>
      <w:tr>
        <w:trPr>
          <w:cantSplit/>
        </w:trPr>
        <w:tc>
          <w:tcPr>
            <w:tcW w:type="dxa" w:w="1944"/>
            <w:vAlign w:val="center"/>
          </w:tcPr>
          <w:p>
            <w:pPr>
              <w:spacing w:after="0"/>
            </w:pPr>
            <w:r/>
            <w:r>
              <w:rPr>
                <w:b w:val="0"/>
                <w:sz w:val="18"/>
              </w:rPr>
              <w:t>app_user</w:t>
            </w:r>
          </w:p>
        </w:tc>
        <w:tc>
          <w:tcPr>
            <w:tcW w:type="dxa" w:w="3672"/>
            <w:vAlign w:val="center"/>
          </w:tcPr>
          <w:p>
            <w:pPr>
              <w:spacing w:after="0"/>
            </w:pPr>
            <w:r/>
            <w:r>
              <w:rPr>
                <w:b w:val="0"/>
                <w:sz w:val="18"/>
              </w:rPr>
              <w:t>user_id PK; role and optional occupant FK</w:t>
            </w:r>
          </w:p>
        </w:tc>
        <w:tc>
          <w:tcPr>
            <w:tcW w:type="dxa" w:w="3629"/>
            <w:vAlign w:val="center"/>
          </w:tcPr>
          <w:p>
            <w:pPr>
              <w:spacing w:after="0"/>
            </w:pPr>
            <w:r/>
            <w:r>
              <w:rPr>
                <w:b w:val="0"/>
                <w:sz w:val="18"/>
              </w:rPr>
              <w:t>Login identity and password hash</w:t>
            </w:r>
          </w:p>
        </w:tc>
      </w:tr>
      <w:tr>
        <w:trPr>
          <w:cantSplit/>
        </w:trPr>
        <w:tc>
          <w:tcPr>
            <w:tcW w:type="dxa" w:w="1944"/>
            <w:vAlign w:val="center"/>
          </w:tcPr>
          <w:p>
            <w:pPr>
              <w:spacing w:after="0"/>
            </w:pPr>
            <w:r/>
            <w:r>
              <w:rPr>
                <w:b w:val="0"/>
                <w:sz w:val="18"/>
              </w:rPr>
              <w:t>receipt</w:t>
            </w:r>
          </w:p>
        </w:tc>
        <w:tc>
          <w:tcPr>
            <w:tcW w:type="dxa" w:w="3672"/>
            <w:vAlign w:val="center"/>
          </w:tcPr>
          <w:p>
            <w:pPr>
              <w:spacing w:after="0"/>
            </w:pPr>
            <w:r/>
            <w:r>
              <w:rPr>
                <w:b w:val="0"/>
                <w:sz w:val="18"/>
              </w:rPr>
              <w:t>receipt_id PK; bill or expense FK</w:t>
            </w:r>
          </w:p>
        </w:tc>
        <w:tc>
          <w:tcPr>
            <w:tcW w:type="dxa" w:w="3629"/>
            <w:vAlign w:val="center"/>
          </w:tcPr>
          <w:p>
            <w:pPr>
              <w:spacing w:after="0"/>
            </w:pPr>
            <w:r/>
            <w:r>
              <w:rPr>
                <w:b w:val="0"/>
                <w:sz w:val="18"/>
              </w:rPr>
              <w:t>Uploaded file URL and optional text</w:t>
            </w:r>
          </w:p>
        </w:tc>
      </w:tr>
      <w:tr>
        <w:trPr>
          <w:cantSplit/>
        </w:trPr>
        <w:tc>
          <w:tcPr>
            <w:tcW w:type="dxa" w:w="1944"/>
            <w:vAlign w:val="center"/>
          </w:tcPr>
          <w:p>
            <w:pPr>
              <w:spacing w:after="0"/>
            </w:pPr>
            <w:r/>
            <w:r>
              <w:rPr>
                <w:b w:val="0"/>
                <w:sz w:val="18"/>
              </w:rPr>
              <w:t>doc_embedding</w:t>
            </w:r>
          </w:p>
        </w:tc>
        <w:tc>
          <w:tcPr>
            <w:tcW w:type="dxa" w:w="3672"/>
            <w:vAlign w:val="center"/>
          </w:tcPr>
          <w:p>
            <w:pPr>
              <w:spacing w:after="0"/>
            </w:pPr>
            <w:r/>
            <w:r>
              <w:rPr>
                <w:b w:val="0"/>
                <w:sz w:val="18"/>
              </w:rPr>
              <w:t>embedding_id PK; source type and ID</w:t>
            </w:r>
          </w:p>
        </w:tc>
        <w:tc>
          <w:tcPr>
            <w:tcW w:type="dxa" w:w="3629"/>
            <w:vAlign w:val="center"/>
          </w:tcPr>
          <w:p>
            <w:pPr>
              <w:spacing w:after="0"/>
            </w:pPr>
            <w:r/>
            <w:r>
              <w:rPr>
                <w:b w:val="0"/>
                <w:sz w:val="18"/>
              </w:rPr>
              <w:t>Text and 384-dimensional vector</w:t>
            </w:r>
          </w:p>
        </w:tc>
      </w:tr>
      <w:tr>
        <w:trPr>
          <w:cantSplit/>
        </w:trPr>
        <w:tc>
          <w:tcPr>
            <w:tcW w:type="dxa" w:w="1944"/>
            <w:vAlign w:val="center"/>
          </w:tcPr>
          <w:p>
            <w:pPr>
              <w:spacing w:after="0"/>
            </w:pPr>
            <w:r/>
            <w:r>
              <w:rPr>
                <w:b w:val="0"/>
                <w:sz w:val="18"/>
              </w:rPr>
              <w:t>audit_log</w:t>
            </w:r>
          </w:p>
        </w:tc>
        <w:tc>
          <w:tcPr>
            <w:tcW w:type="dxa" w:w="3672"/>
            <w:vAlign w:val="center"/>
          </w:tcPr>
          <w:p>
            <w:pPr>
              <w:spacing w:after="0"/>
            </w:pPr>
            <w:r/>
            <w:r>
              <w:rPr>
                <w:b w:val="0"/>
                <w:sz w:val="18"/>
              </w:rPr>
              <w:t>log_id PK; optional app_user_id FK</w:t>
            </w:r>
          </w:p>
        </w:tc>
        <w:tc>
          <w:tcPr>
            <w:tcW w:type="dxa" w:w="3629"/>
            <w:vAlign w:val="center"/>
          </w:tcPr>
          <w:p>
            <w:pPr>
              <w:spacing w:after="0"/>
            </w:pPr>
            <w:r/>
            <w:r>
              <w:rPr>
                <w:b w:val="0"/>
                <w:sz w:val="18"/>
              </w:rPr>
              <w:t>Who changed what and when</w:t>
            </w:r>
          </w:p>
        </w:tc>
      </w:tr>
    </w:tbl>
    <w:p>
      <w:pPr>
        <w:spacing w:after="0"/>
      </w:pPr>
    </w:p>
    <w:p>
      <w:pPr>
        <w:pStyle w:val="Heading1"/>
        <w:keepNext/>
      </w:pPr>
      <w:r>
        <w:t>5 Calculation rules</w:t>
      </w:r>
    </w:p>
    <w:p>
      <w:pPr>
        <w:keepLines/>
        <w:spacing w:after="140"/>
      </w:pPr>
      <w:r>
        <w:t>Billing uses the difference between current and previous meter readings. Each unit range is charged at its own rate. The fixed charge comes from the first active slab. A bill is generated only when the slabs start at zero and cover all consumed units without a gap. A duplicate utility bill for one cycle is rejected by a unique constraint.</w:t>
      </w:r>
    </w:p>
    <w:tbl>
      <w:tblPr>
        <w:tblStyle w:val="TableGrid"/>
        <w:tblW w:type="auto" w:w="0"/>
        <w:jc w:val="center"/>
        <w:tblLayout w:type="fixed"/>
        <w:tblLook w:firstColumn="1" w:firstRow="1" w:lastColumn="0" w:lastRow="0" w:noHBand="0" w:noVBand="1" w:val="04A0"/>
      </w:tblPr>
      <w:tblGrid>
        <w:gridCol w:w="3600"/>
        <w:gridCol w:w="1224"/>
        <w:gridCol w:w="1800"/>
        <w:gridCol w:w="2621"/>
      </w:tblGrid>
      <w:tr>
        <w:trPr>
          <w:tblHeader w:val="true"/>
        </w:trPr>
        <w:tc>
          <w:tcPr>
            <w:tcW w:type="dxa" w:w="2484"/>
            <w:vAlign w:val="center"/>
            <w:shd w:fill="173E50"/>
          </w:tcPr>
          <w:p>
            <w:pPr>
              <w:spacing w:after="0"/>
            </w:pPr>
            <w:r/>
            <w:r>
              <w:rPr>
                <w:b/>
                <w:color w:val="FFFFFF"/>
                <w:sz w:val="18"/>
              </w:rPr>
              <w:t>Electricity example</w:t>
            </w:r>
          </w:p>
        </w:tc>
        <w:tc>
          <w:tcPr>
            <w:tcW w:type="dxa" w:w="2484"/>
            <w:vAlign w:val="center"/>
            <w:shd w:fill="173E50"/>
          </w:tcPr>
          <w:p>
            <w:pPr>
              <w:spacing w:after="0"/>
            </w:pPr>
            <w:r/>
            <w:r>
              <w:rPr>
                <w:b/>
                <w:color w:val="FFFFFF"/>
                <w:sz w:val="18"/>
              </w:rPr>
              <w:t>Units</w:t>
            </w:r>
          </w:p>
        </w:tc>
        <w:tc>
          <w:tcPr>
            <w:tcW w:type="dxa" w:w="2484"/>
            <w:vAlign w:val="center"/>
            <w:shd w:fill="173E50"/>
          </w:tcPr>
          <w:p>
            <w:pPr>
              <w:spacing w:after="0"/>
            </w:pPr>
            <w:r/>
            <w:r>
              <w:rPr>
                <w:b/>
                <w:color w:val="FFFFFF"/>
                <w:sz w:val="18"/>
              </w:rPr>
              <w:t>Rate</w:t>
            </w:r>
          </w:p>
        </w:tc>
        <w:tc>
          <w:tcPr>
            <w:tcW w:type="dxa" w:w="2484"/>
            <w:vAlign w:val="center"/>
            <w:shd w:fill="173E50"/>
          </w:tcPr>
          <w:p>
            <w:pPr>
              <w:spacing w:after="0"/>
            </w:pPr>
            <w:r/>
            <w:r>
              <w:rPr>
                <w:b/>
                <w:color w:val="FFFFFF"/>
                <w:sz w:val="18"/>
              </w:rPr>
              <w:t>Charge</w:t>
            </w:r>
          </w:p>
        </w:tc>
      </w:tr>
      <w:tr>
        <w:trPr>
          <w:cantSplit/>
        </w:trPr>
        <w:tc>
          <w:tcPr>
            <w:tcW w:type="dxa" w:w="3600"/>
            <w:vAlign w:val="center"/>
          </w:tcPr>
          <w:p>
            <w:pPr>
              <w:spacing w:after="0"/>
            </w:pPr>
            <w:r/>
            <w:r>
              <w:rPr>
                <w:b w:val="0"/>
                <w:sz w:val="18"/>
              </w:rPr>
              <w:t>0 to 100</w:t>
            </w:r>
          </w:p>
        </w:tc>
        <w:tc>
          <w:tcPr>
            <w:tcW w:type="dxa" w:w="1224"/>
            <w:vAlign w:val="center"/>
          </w:tcPr>
          <w:p>
            <w:pPr>
              <w:spacing w:after="0"/>
            </w:pPr>
            <w:r/>
            <w:r>
              <w:rPr>
                <w:b w:val="0"/>
                <w:sz w:val="18"/>
              </w:rPr>
              <w:t>100</w:t>
            </w:r>
          </w:p>
        </w:tc>
        <w:tc>
          <w:tcPr>
            <w:tcW w:type="dxa" w:w="1800"/>
            <w:vAlign w:val="center"/>
          </w:tcPr>
          <w:p>
            <w:pPr>
              <w:spacing w:after="0"/>
            </w:pPr>
            <w:r/>
            <w:r>
              <w:rPr>
                <w:b w:val="0"/>
                <w:sz w:val="18"/>
              </w:rPr>
              <w:t>INR 4</w:t>
            </w:r>
          </w:p>
        </w:tc>
        <w:tc>
          <w:tcPr>
            <w:tcW w:type="dxa" w:w="2621"/>
            <w:vAlign w:val="center"/>
          </w:tcPr>
          <w:p>
            <w:pPr>
              <w:spacing w:after="0"/>
            </w:pPr>
            <w:r/>
            <w:r>
              <w:rPr>
                <w:b w:val="0"/>
                <w:sz w:val="18"/>
              </w:rPr>
              <w:t>INR 400</w:t>
            </w:r>
          </w:p>
        </w:tc>
      </w:tr>
      <w:tr>
        <w:trPr>
          <w:cantSplit/>
        </w:trPr>
        <w:tc>
          <w:tcPr>
            <w:tcW w:type="dxa" w:w="3600"/>
            <w:vAlign w:val="center"/>
          </w:tcPr>
          <w:p>
            <w:pPr>
              <w:spacing w:after="0"/>
            </w:pPr>
            <w:r/>
            <w:r>
              <w:rPr>
                <w:b w:val="0"/>
                <w:sz w:val="18"/>
              </w:rPr>
              <w:t>100 to 200</w:t>
            </w:r>
          </w:p>
        </w:tc>
        <w:tc>
          <w:tcPr>
            <w:tcW w:type="dxa" w:w="1224"/>
            <w:vAlign w:val="center"/>
          </w:tcPr>
          <w:p>
            <w:pPr>
              <w:spacing w:after="0"/>
            </w:pPr>
            <w:r/>
            <w:r>
              <w:rPr>
                <w:b w:val="0"/>
                <w:sz w:val="18"/>
              </w:rPr>
              <w:t>100</w:t>
            </w:r>
          </w:p>
        </w:tc>
        <w:tc>
          <w:tcPr>
            <w:tcW w:type="dxa" w:w="1800"/>
            <w:vAlign w:val="center"/>
          </w:tcPr>
          <w:p>
            <w:pPr>
              <w:spacing w:after="0"/>
            </w:pPr>
            <w:r/>
            <w:r>
              <w:rPr>
                <w:b w:val="0"/>
                <w:sz w:val="18"/>
              </w:rPr>
              <w:t>INR 6</w:t>
            </w:r>
          </w:p>
        </w:tc>
        <w:tc>
          <w:tcPr>
            <w:tcW w:type="dxa" w:w="2621"/>
            <w:vAlign w:val="center"/>
          </w:tcPr>
          <w:p>
            <w:pPr>
              <w:spacing w:after="0"/>
            </w:pPr>
            <w:r/>
            <w:r>
              <w:rPr>
                <w:b w:val="0"/>
                <w:sz w:val="18"/>
              </w:rPr>
              <w:t>INR 600</w:t>
            </w:r>
          </w:p>
        </w:tc>
      </w:tr>
      <w:tr>
        <w:trPr>
          <w:cantSplit/>
        </w:trPr>
        <w:tc>
          <w:tcPr>
            <w:tcW w:type="dxa" w:w="3600"/>
            <w:vAlign w:val="center"/>
          </w:tcPr>
          <w:p>
            <w:pPr>
              <w:spacing w:after="0"/>
            </w:pPr>
            <w:r/>
            <w:r>
              <w:rPr>
                <w:b w:val="0"/>
                <w:sz w:val="18"/>
              </w:rPr>
              <w:t>Above 200</w:t>
            </w:r>
          </w:p>
        </w:tc>
        <w:tc>
          <w:tcPr>
            <w:tcW w:type="dxa" w:w="1224"/>
            <w:vAlign w:val="center"/>
          </w:tcPr>
          <w:p>
            <w:pPr>
              <w:spacing w:after="0"/>
            </w:pPr>
            <w:r/>
            <w:r>
              <w:rPr>
                <w:b w:val="0"/>
                <w:sz w:val="18"/>
              </w:rPr>
              <w:t>20</w:t>
            </w:r>
          </w:p>
        </w:tc>
        <w:tc>
          <w:tcPr>
            <w:tcW w:type="dxa" w:w="1800"/>
            <w:vAlign w:val="center"/>
          </w:tcPr>
          <w:p>
            <w:pPr>
              <w:spacing w:after="0"/>
            </w:pPr>
            <w:r/>
            <w:r>
              <w:rPr>
                <w:b w:val="0"/>
                <w:sz w:val="18"/>
              </w:rPr>
              <w:t>INR 8</w:t>
            </w:r>
          </w:p>
        </w:tc>
        <w:tc>
          <w:tcPr>
            <w:tcW w:type="dxa" w:w="2621"/>
            <w:vAlign w:val="center"/>
          </w:tcPr>
          <w:p>
            <w:pPr>
              <w:spacing w:after="0"/>
            </w:pPr>
            <w:r/>
            <w:r>
              <w:rPr>
                <w:b w:val="0"/>
                <w:sz w:val="18"/>
              </w:rPr>
              <w:t>INR 160</w:t>
            </w:r>
          </w:p>
        </w:tc>
      </w:tr>
      <w:tr>
        <w:trPr>
          <w:cantSplit/>
        </w:trPr>
        <w:tc>
          <w:tcPr>
            <w:tcW w:type="dxa" w:w="3600"/>
            <w:vAlign w:val="center"/>
          </w:tcPr>
          <w:p>
            <w:pPr>
              <w:spacing w:after="0"/>
            </w:pPr>
            <w:r/>
            <w:r>
              <w:rPr>
                <w:b w:val="0"/>
                <w:sz w:val="18"/>
              </w:rPr>
              <w:t>Fixed charge</w:t>
            </w:r>
          </w:p>
        </w:tc>
        <w:tc>
          <w:tcPr>
            <w:tcW w:type="dxa" w:w="1224"/>
            <w:vAlign w:val="center"/>
          </w:tcPr>
          <w:p>
            <w:pPr>
              <w:spacing w:after="0"/>
            </w:pPr>
            <w:r/>
            <w:r>
              <w:rPr>
                <w:b w:val="0"/>
                <w:sz w:val="18"/>
              </w:rPr>
            </w:r>
          </w:p>
        </w:tc>
        <w:tc>
          <w:tcPr>
            <w:tcW w:type="dxa" w:w="1800"/>
            <w:vAlign w:val="center"/>
          </w:tcPr>
          <w:p>
            <w:pPr>
              <w:spacing w:after="0"/>
            </w:pPr>
            <w:r/>
            <w:r>
              <w:rPr>
                <w:b w:val="0"/>
                <w:sz w:val="18"/>
              </w:rPr>
            </w:r>
          </w:p>
        </w:tc>
        <w:tc>
          <w:tcPr>
            <w:tcW w:type="dxa" w:w="2621"/>
            <w:vAlign w:val="center"/>
          </w:tcPr>
          <w:p>
            <w:pPr>
              <w:spacing w:after="0"/>
            </w:pPr>
            <w:r/>
            <w:r>
              <w:rPr>
                <w:b w:val="0"/>
                <w:sz w:val="18"/>
              </w:rPr>
              <w:t>INR 60</w:t>
            </w:r>
          </w:p>
        </w:tc>
      </w:tr>
      <w:tr>
        <w:trPr>
          <w:cantSplit/>
        </w:trPr>
        <w:tc>
          <w:tcPr>
            <w:tcW w:type="dxa" w:w="3600"/>
            <w:vAlign w:val="center"/>
          </w:tcPr>
          <w:p>
            <w:pPr>
              <w:spacing w:after="0"/>
            </w:pPr>
            <w:r/>
            <w:r>
              <w:rPr>
                <w:b w:val="0"/>
                <w:sz w:val="18"/>
              </w:rPr>
              <w:t>Total for 220 units</w:t>
            </w:r>
          </w:p>
        </w:tc>
        <w:tc>
          <w:tcPr>
            <w:tcW w:type="dxa" w:w="1224"/>
            <w:vAlign w:val="center"/>
          </w:tcPr>
          <w:p>
            <w:pPr>
              <w:spacing w:after="0"/>
            </w:pPr>
            <w:r/>
            <w:r>
              <w:rPr>
                <w:b w:val="0"/>
                <w:sz w:val="18"/>
              </w:rPr>
            </w:r>
          </w:p>
        </w:tc>
        <w:tc>
          <w:tcPr>
            <w:tcW w:type="dxa" w:w="1800"/>
            <w:vAlign w:val="center"/>
          </w:tcPr>
          <w:p>
            <w:pPr>
              <w:spacing w:after="0"/>
            </w:pPr>
            <w:r/>
            <w:r>
              <w:rPr>
                <w:b w:val="0"/>
                <w:sz w:val="18"/>
              </w:rPr>
            </w:r>
          </w:p>
        </w:tc>
        <w:tc>
          <w:tcPr>
            <w:tcW w:type="dxa" w:w="2621"/>
            <w:vAlign w:val="center"/>
          </w:tcPr>
          <w:p>
            <w:pPr>
              <w:spacing w:after="0"/>
            </w:pPr>
            <w:r/>
            <w:r>
              <w:rPr>
                <w:b w:val="0"/>
                <w:sz w:val="18"/>
              </w:rPr>
              <w:t>INR 1,220</w:t>
            </w:r>
          </w:p>
        </w:tc>
      </w:tr>
    </w:tbl>
    <w:p>
      <w:pPr>
        <w:spacing w:after="0"/>
      </w:pPr>
    </w:p>
    <w:p>
      <w:pPr>
        <w:keepLines/>
        <w:spacing w:after="140"/>
      </w:pPr>
      <w:r>
        <w:t>The seeded October cycle has Asha and Dev for 31 days each and Mira from 16 October for 16 days. Their day weights total 78. The INR 1,220 bill is allocated as INR 484.87, INR 484.87 and INR 250.26. The final share receives any rounding remainder, so the shares always add to the bill amount.</w:t>
      </w:r>
    </w:p>
    <w:p>
      <w:pPr>
        <w:keepLines/>
        <w:spacing w:after="140"/>
      </w:pPr>
      <w:r>
        <w:t>A one-off expense is shared by occupants present on its date. A recurring expense uses occupied days across the cycle. Rent multiplies those days by each occupancy record's rent_weight. Expense reimbursements reduce what the original payer is owed. Settlement generation waits until all utility bills are fully paid, then nets each person's allocations and payments.</w:t>
      </w:r>
    </w:p>
    <w:p>
      <w:pPr>
        <w:pStyle w:val="Heading1"/>
        <w:keepNext/>
      </w:pPr>
      <w:r>
        <w:t>6 Web interface and roles</w:t>
      </w:r>
    </w:p>
    <w:tbl>
      <w:tblPr>
        <w:tblStyle w:val="TableGrid"/>
        <w:tblW w:type="auto" w:w="0"/>
        <w:jc w:val="center"/>
        <w:tblLayout w:type="fixed"/>
        <w:tblLook w:firstColumn="1" w:firstRow="1" w:lastColumn="0" w:lastRow="0" w:noHBand="0" w:noVBand="1" w:val="04A0"/>
      </w:tblPr>
      <w:tblGrid>
        <w:gridCol w:w="2520"/>
        <w:gridCol w:w="6725"/>
      </w:tblGrid>
      <w:tr>
        <w:trPr>
          <w:tblHeader w:val="true"/>
        </w:trPr>
        <w:tc>
          <w:tcPr>
            <w:tcW w:type="dxa" w:w="4968"/>
            <w:vAlign w:val="center"/>
            <w:shd w:fill="173E50"/>
          </w:tcPr>
          <w:p>
            <w:pPr>
              <w:spacing w:after="0"/>
            </w:pPr>
            <w:r/>
            <w:r>
              <w:rPr>
                <w:b/>
                <w:color w:val="FFFFFF"/>
                <w:sz w:val="18"/>
              </w:rPr>
              <w:t>Screen</w:t>
            </w:r>
          </w:p>
        </w:tc>
        <w:tc>
          <w:tcPr>
            <w:tcW w:type="dxa" w:w="4968"/>
            <w:vAlign w:val="center"/>
            <w:shd w:fill="173E50"/>
          </w:tcPr>
          <w:p>
            <w:pPr>
              <w:spacing w:after="0"/>
            </w:pPr>
            <w:r/>
            <w:r>
              <w:rPr>
                <w:b/>
                <w:color w:val="FFFFFF"/>
                <w:sz w:val="18"/>
              </w:rPr>
              <w:t>What the user can do</w:t>
            </w:r>
          </w:p>
        </w:tc>
      </w:tr>
      <w:tr>
        <w:trPr>
          <w:cantSplit/>
        </w:trPr>
        <w:tc>
          <w:tcPr>
            <w:tcW w:type="dxa" w:w="2520"/>
            <w:vAlign w:val="center"/>
          </w:tcPr>
          <w:p>
            <w:pPr>
              <w:spacing w:after="0"/>
            </w:pPr>
            <w:r/>
            <w:r>
              <w:rPr>
                <w:b w:val="0"/>
                <w:sz w:val="18"/>
              </w:rPr>
              <w:t>Overview</w:t>
            </w:r>
          </w:p>
        </w:tc>
        <w:tc>
          <w:tcPr>
            <w:tcW w:type="dxa" w:w="6725"/>
            <w:vAlign w:val="center"/>
          </w:tcPr>
          <w:p>
            <w:pPr>
              <w:spacing w:after="0"/>
            </w:pPr>
            <w:r/>
            <w:r>
              <w:rPr>
                <w:b w:val="0"/>
                <w:sz w:val="18"/>
              </w:rPr>
              <w:t>See occupants, cycle totals, bill balance and per-person allocated/paid amounts.</w:t>
            </w:r>
          </w:p>
        </w:tc>
      </w:tr>
      <w:tr>
        <w:trPr>
          <w:cantSplit/>
        </w:trPr>
        <w:tc>
          <w:tcPr>
            <w:tcW w:type="dxa" w:w="2520"/>
            <w:vAlign w:val="center"/>
          </w:tcPr>
          <w:p>
            <w:pPr>
              <w:spacing w:after="0"/>
            </w:pPr>
            <w:r/>
            <w:r>
              <w:rPr>
                <w:b w:val="0"/>
                <w:sz w:val="18"/>
              </w:rPr>
              <w:t>Household and people</w:t>
            </w:r>
          </w:p>
        </w:tc>
        <w:tc>
          <w:tcPr>
            <w:tcW w:type="dxa" w:w="6725"/>
            <w:vAlign w:val="center"/>
          </w:tcPr>
          <w:p>
            <w:pPr>
              <w:spacing w:after="0"/>
            </w:pPr>
            <w:r/>
            <w:r>
              <w:rPr>
                <w:b w:val="0"/>
                <w:sz w:val="18"/>
              </w:rPr>
              <w:t>Create a household, occupants, dated occupancy and billing cycles; view or close cycles.</w:t>
            </w:r>
          </w:p>
        </w:tc>
      </w:tr>
      <w:tr>
        <w:trPr>
          <w:cantSplit/>
        </w:trPr>
        <w:tc>
          <w:tcPr>
            <w:tcW w:type="dxa" w:w="2520"/>
            <w:vAlign w:val="center"/>
          </w:tcPr>
          <w:p>
            <w:pPr>
              <w:spacing w:after="0"/>
            </w:pPr>
            <w:r/>
            <w:r>
              <w:rPr>
                <w:b w:val="0"/>
                <w:sz w:val="18"/>
              </w:rPr>
              <w:t>Bills and rates</w:t>
            </w:r>
          </w:p>
        </w:tc>
        <w:tc>
          <w:tcPr>
            <w:tcW w:type="dxa" w:w="6725"/>
            <w:vAlign w:val="center"/>
          </w:tcPr>
          <w:p>
            <w:pPr>
              <w:spacing w:after="0"/>
            </w:pPr>
            <w:r/>
            <w:r>
              <w:rPr>
                <w:b w:val="0"/>
                <w:sz w:val="18"/>
              </w:rPr>
              <w:t>Enter slabs, calculate a bill, inspect breakdown and shares, and record provider payments.</w:t>
            </w:r>
          </w:p>
        </w:tc>
      </w:tr>
      <w:tr>
        <w:trPr>
          <w:cantSplit/>
        </w:trPr>
        <w:tc>
          <w:tcPr>
            <w:tcW w:type="dxa" w:w="2520"/>
            <w:vAlign w:val="center"/>
          </w:tcPr>
          <w:p>
            <w:pPr>
              <w:spacing w:after="0"/>
            </w:pPr>
            <w:r/>
            <w:r>
              <w:rPr>
                <w:b w:val="0"/>
                <w:sz w:val="18"/>
              </w:rPr>
              <w:t>Expenses and receipts</w:t>
            </w:r>
          </w:p>
        </w:tc>
        <w:tc>
          <w:tcPr>
            <w:tcW w:type="dxa" w:w="6725"/>
            <w:vAlign w:val="center"/>
          </w:tcPr>
          <w:p>
            <w:pPr>
              <w:spacing w:after="0"/>
            </w:pPr>
            <w:r/>
            <w:r>
              <w:rPr>
                <w:b w:val="0"/>
                <w:sz w:val="18"/>
              </w:rPr>
              <w:t>Add shared expenses, view shares, record reimbursements and attach receipts.</w:t>
            </w:r>
          </w:p>
        </w:tc>
      </w:tr>
      <w:tr>
        <w:trPr>
          <w:cantSplit/>
        </w:trPr>
        <w:tc>
          <w:tcPr>
            <w:tcW w:type="dxa" w:w="2520"/>
            <w:vAlign w:val="center"/>
          </w:tcPr>
          <w:p>
            <w:pPr>
              <w:spacing w:after="0"/>
            </w:pPr>
            <w:r/>
            <w:r>
              <w:rPr>
                <w:b w:val="0"/>
                <w:sz w:val="18"/>
              </w:rPr>
              <w:t>Settlements</w:t>
            </w:r>
          </w:p>
        </w:tc>
        <w:tc>
          <w:tcPr>
            <w:tcW w:type="dxa" w:w="6725"/>
            <w:vAlign w:val="center"/>
          </w:tcPr>
          <w:p>
            <w:pPr>
              <w:spacing w:after="0"/>
            </w:pPr>
            <w:r/>
            <w:r>
              <w:rPr>
                <w:b w:val="0"/>
                <w:sz w:val="18"/>
              </w:rPr>
              <w:t>Generate transfer suggestions after bills are paid, then mark or cancel transfers.</w:t>
            </w:r>
          </w:p>
        </w:tc>
      </w:tr>
      <w:tr>
        <w:trPr>
          <w:cantSplit/>
        </w:trPr>
        <w:tc>
          <w:tcPr>
            <w:tcW w:type="dxa" w:w="2520"/>
            <w:vAlign w:val="center"/>
          </w:tcPr>
          <w:p>
            <w:pPr>
              <w:spacing w:after="0"/>
            </w:pPr>
            <w:r/>
            <w:r>
              <w:rPr>
                <w:b w:val="0"/>
                <w:sz w:val="18"/>
              </w:rPr>
              <w:t>Reports</w:t>
            </w:r>
          </w:p>
        </w:tc>
        <w:tc>
          <w:tcPr>
            <w:tcW w:type="dxa" w:w="6725"/>
            <w:vAlign w:val="center"/>
          </w:tcPr>
          <w:p>
            <w:pPr>
              <w:spacing w:after="0"/>
            </w:pPr>
            <w:r/>
            <w:r>
              <w:rPr>
                <w:b w:val="0"/>
                <w:sz w:val="18"/>
              </w:rPr>
              <w:t>Show grouped category totals, occupancy days and expenses above the average.</w:t>
            </w:r>
          </w:p>
        </w:tc>
      </w:tr>
      <w:tr>
        <w:trPr>
          <w:cantSplit/>
        </w:trPr>
        <w:tc>
          <w:tcPr>
            <w:tcW w:type="dxa" w:w="2520"/>
            <w:vAlign w:val="center"/>
          </w:tcPr>
          <w:p>
            <w:pPr>
              <w:spacing w:after="0"/>
            </w:pPr>
            <w:r/>
            <w:r>
              <w:rPr>
                <w:b w:val="0"/>
                <w:sz w:val="18"/>
              </w:rPr>
              <w:t>Search and audit</w:t>
            </w:r>
          </w:p>
        </w:tc>
        <w:tc>
          <w:tcPr>
            <w:tcW w:type="dxa" w:w="6725"/>
            <w:vAlign w:val="center"/>
          </w:tcPr>
          <w:p>
            <w:pPr>
              <w:spacing w:after="0"/>
            </w:pPr>
            <w:r/>
            <w:r>
              <w:rPr>
                <w:b w:val="0"/>
                <w:sz w:val="18"/>
              </w:rPr>
              <w:t>Search descriptions by words or MiniLM similarity and inspect recent changes.</w:t>
            </w:r>
          </w:p>
        </w:tc>
      </w:tr>
    </w:tbl>
    <w:p>
      <w:pPr>
        <w:spacing w:after="0"/>
      </w:pPr>
    </w:p>
    <w:p>
      <w:pPr>
        <w:keepLines/>
        <w:spacing w:after="140"/>
      </w:pPr>
      <w:r>
        <w:t>Admin can manage household data and generate settlements. Member can view an associated household, record only their own payments, and mark a transfer where they are the payer as settled. The seed script creates one account of each role. The API checks the role rather than relying only on hidden buttons.</w:t>
      </w:r>
    </w:p>
    <w:p>
      <w:pPr>
        <w:pStyle w:val="Heading1"/>
        <w:keepNext/>
      </w:pPr>
      <w:r>
        <w:t>7 SQL operations and advanced concepts</w:t>
      </w:r>
    </w:p>
    <w:p>
      <w:pPr>
        <w:keepLines/>
        <w:spacing w:after="140"/>
      </w:pPr>
      <w:r>
        <w:t>The course asks for more than CRUD. The app creates and changes records, but the important behavior is the calculated bill, dated sharing, net settlement and searchable documents. The database script defines keys, foreign keys, unique rules, checks and indexes. database/ddl_demo.sql demonstrates ALTER and DROP in a transaction that rolls back so it does not permanently change the project schema.</w:t>
      </w:r>
    </w:p>
    <w:tbl>
      <w:tblPr>
        <w:tblStyle w:val="TableGrid"/>
        <w:tblW w:type="auto" w:w="0"/>
        <w:jc w:val="center"/>
        <w:tblLayout w:type="fixed"/>
        <w:tblLook w:firstColumn="1" w:firstRow="1" w:lastColumn="0" w:lastRow="0" w:noHBand="0" w:noVBand="1" w:val="04A0"/>
      </w:tblPr>
      <w:tblGrid>
        <w:gridCol w:w="1656"/>
        <w:gridCol w:w="4536"/>
        <w:gridCol w:w="3053"/>
      </w:tblGrid>
      <w:tr>
        <w:trPr>
          <w:tblHeader w:val="true"/>
        </w:trPr>
        <w:tc>
          <w:tcPr>
            <w:tcW w:type="dxa" w:w="3312"/>
            <w:vAlign w:val="center"/>
            <w:shd w:fill="173E50"/>
          </w:tcPr>
          <w:p>
            <w:pPr>
              <w:spacing w:after="0"/>
            </w:pPr>
            <w:r/>
            <w:r>
              <w:rPr>
                <w:b/>
                <w:color w:val="FFFFFF"/>
                <w:sz w:val="18"/>
              </w:rPr>
              <w:t>Concept</w:t>
            </w:r>
          </w:p>
        </w:tc>
        <w:tc>
          <w:tcPr>
            <w:tcW w:type="dxa" w:w="3312"/>
            <w:vAlign w:val="center"/>
            <w:shd w:fill="173E50"/>
          </w:tcPr>
          <w:p>
            <w:pPr>
              <w:spacing w:after="0"/>
            </w:pPr>
            <w:r/>
            <w:r>
              <w:rPr>
                <w:b/>
                <w:color w:val="FFFFFF"/>
                <w:sz w:val="18"/>
              </w:rPr>
              <w:t>Simple explanation</w:t>
            </w:r>
          </w:p>
        </w:tc>
        <w:tc>
          <w:tcPr>
            <w:tcW w:type="dxa" w:w="3312"/>
            <w:vAlign w:val="center"/>
            <w:shd w:fill="173E50"/>
          </w:tcPr>
          <w:p>
            <w:pPr>
              <w:spacing w:after="0"/>
            </w:pPr>
            <w:r/>
            <w:r>
              <w:rPr>
                <w:b/>
                <w:color w:val="FFFFFF"/>
                <w:sz w:val="18"/>
              </w:rPr>
              <w:t>Where to see it</w:t>
            </w:r>
          </w:p>
        </w:tc>
      </w:tr>
      <w:tr>
        <w:trPr>
          <w:cantSplit/>
        </w:trPr>
        <w:tc>
          <w:tcPr>
            <w:tcW w:type="dxa" w:w="1656"/>
            <w:vAlign w:val="center"/>
          </w:tcPr>
          <w:p>
            <w:pPr>
              <w:spacing w:after="0"/>
            </w:pPr>
            <w:r/>
            <w:r>
              <w:rPr>
                <w:b w:val="0"/>
                <w:sz w:val="18"/>
              </w:rPr>
              <w:t>Transaction</w:t>
            </w:r>
          </w:p>
        </w:tc>
        <w:tc>
          <w:tcPr>
            <w:tcW w:type="dxa" w:w="4536"/>
            <w:vAlign w:val="center"/>
          </w:tcPr>
          <w:p>
            <w:pPr>
              <w:spacing w:after="0"/>
            </w:pPr>
            <w:r/>
            <w:r>
              <w:rPr>
                <w:b w:val="0"/>
                <w:sz w:val="18"/>
              </w:rPr>
              <w:t>All rows for one bill or settlement save together, or none save.</w:t>
            </w:r>
          </w:p>
        </w:tc>
        <w:tc>
          <w:tcPr>
            <w:tcW w:type="dxa" w:w="3053"/>
            <w:vAlign w:val="center"/>
          </w:tcPr>
          <w:p>
            <w:pPr>
              <w:spacing w:after="0"/>
            </w:pPr>
            <w:r/>
            <w:r>
              <w:rPr>
                <w:b w:val="0"/>
                <w:sz w:val="18"/>
              </w:rPr>
              <w:t>lib/db.js and lib/logic.js</w:t>
            </w:r>
          </w:p>
        </w:tc>
      </w:tr>
      <w:tr>
        <w:trPr>
          <w:cantSplit/>
        </w:trPr>
        <w:tc>
          <w:tcPr>
            <w:tcW w:type="dxa" w:w="1656"/>
            <w:vAlign w:val="center"/>
          </w:tcPr>
          <w:p>
            <w:pPr>
              <w:spacing w:after="0"/>
            </w:pPr>
            <w:r/>
            <w:r>
              <w:rPr>
                <w:b w:val="0"/>
                <w:sz w:val="18"/>
              </w:rPr>
              <w:t>View</w:t>
            </w:r>
          </w:p>
        </w:tc>
        <w:tc>
          <w:tcPr>
            <w:tcW w:type="dxa" w:w="4536"/>
            <w:vAlign w:val="center"/>
          </w:tcPr>
          <w:p>
            <w:pPr>
              <w:spacing w:after="0"/>
            </w:pPr>
            <w:r/>
            <w:r>
              <w:rPr>
                <w:b w:val="0"/>
                <w:sz w:val="18"/>
              </w:rPr>
              <w:t>A saved SELECT presents bill dues and cycle balances.</w:t>
            </w:r>
          </w:p>
        </w:tc>
        <w:tc>
          <w:tcPr>
            <w:tcW w:type="dxa" w:w="3053"/>
            <w:vAlign w:val="center"/>
          </w:tcPr>
          <w:p>
            <w:pPr>
              <w:spacing w:after="0"/>
            </w:pPr>
            <w:r/>
            <w:r>
              <w:rPr>
                <w:b w:val="0"/>
                <w:sz w:val="18"/>
              </w:rPr>
              <w:t>v_bill_summary; v_cycle_member_balance</w:t>
            </w:r>
          </w:p>
        </w:tc>
      </w:tr>
      <w:tr>
        <w:trPr>
          <w:cantSplit/>
        </w:trPr>
        <w:tc>
          <w:tcPr>
            <w:tcW w:type="dxa" w:w="1656"/>
            <w:vAlign w:val="center"/>
          </w:tcPr>
          <w:p>
            <w:pPr>
              <w:spacing w:after="0"/>
            </w:pPr>
            <w:r/>
            <w:r>
              <w:rPr>
                <w:b w:val="0"/>
                <w:sz w:val="18"/>
              </w:rPr>
              <w:t>Function</w:t>
            </w:r>
          </w:p>
        </w:tc>
        <w:tc>
          <w:tcPr>
            <w:tcW w:type="dxa" w:w="4536"/>
            <w:vAlign w:val="center"/>
          </w:tcPr>
          <w:p>
            <w:pPr>
              <w:spacing w:after="0"/>
            </w:pPr>
            <w:r/>
            <w:r>
              <w:rPr>
                <w:b w:val="0"/>
                <w:sz w:val="18"/>
              </w:rPr>
              <w:t>occupancy_days counts overlap between a stay and a cycle.</w:t>
            </w:r>
          </w:p>
        </w:tc>
        <w:tc>
          <w:tcPr>
            <w:tcW w:type="dxa" w:w="3053"/>
            <w:vAlign w:val="center"/>
          </w:tcPr>
          <w:p>
            <w:pPr>
              <w:spacing w:after="0"/>
            </w:pPr>
            <w:r/>
            <w:r>
              <w:rPr>
                <w:b w:val="0"/>
                <w:sz w:val="18"/>
              </w:rPr>
              <w:t>database/schema.sql</w:t>
            </w:r>
          </w:p>
        </w:tc>
      </w:tr>
      <w:tr>
        <w:trPr>
          <w:cantSplit/>
        </w:trPr>
        <w:tc>
          <w:tcPr>
            <w:tcW w:type="dxa" w:w="1656"/>
            <w:vAlign w:val="center"/>
          </w:tcPr>
          <w:p>
            <w:pPr>
              <w:spacing w:after="0"/>
            </w:pPr>
            <w:r/>
            <w:r>
              <w:rPr>
                <w:b w:val="0"/>
                <w:sz w:val="18"/>
              </w:rPr>
              <w:t>Trigger</w:t>
            </w:r>
          </w:p>
        </w:tc>
        <w:tc>
          <w:tcPr>
            <w:tcW w:type="dxa" w:w="4536"/>
            <w:vAlign w:val="center"/>
          </w:tcPr>
          <w:p>
            <w:pPr>
              <w:spacing w:after="0"/>
            </w:pPr>
            <w:r/>
            <w:r>
              <w:rPr>
                <w:b w:val="0"/>
                <w:sz w:val="18"/>
              </w:rPr>
              <w:t>Reject overlapping stays and record bill/expense/payment changes.</w:t>
            </w:r>
          </w:p>
        </w:tc>
        <w:tc>
          <w:tcPr>
            <w:tcW w:type="dxa" w:w="3053"/>
            <w:vAlign w:val="center"/>
          </w:tcPr>
          <w:p>
            <w:pPr>
              <w:spacing w:after="0"/>
            </w:pPr>
            <w:r/>
            <w:r>
              <w:rPr>
                <w:b w:val="0"/>
                <w:sz w:val="18"/>
              </w:rPr>
              <w:t>database/schema.sql</w:t>
            </w:r>
          </w:p>
        </w:tc>
      </w:tr>
      <w:tr>
        <w:trPr>
          <w:cantSplit/>
        </w:trPr>
        <w:tc>
          <w:tcPr>
            <w:tcW w:type="dxa" w:w="1656"/>
            <w:vAlign w:val="center"/>
          </w:tcPr>
          <w:p>
            <w:pPr>
              <w:spacing w:after="0"/>
            </w:pPr>
            <w:r/>
            <w:r>
              <w:rPr>
                <w:b w:val="0"/>
                <w:sz w:val="18"/>
              </w:rPr>
              <w:t>Index</w:t>
            </w:r>
          </w:p>
        </w:tc>
        <w:tc>
          <w:tcPr>
            <w:tcW w:type="dxa" w:w="4536"/>
            <w:vAlign w:val="center"/>
          </w:tcPr>
          <w:p>
            <w:pPr>
              <w:spacing w:after="0"/>
            </w:pPr>
            <w:r/>
            <w:r>
              <w:rPr>
                <w:b w:val="0"/>
                <w:sz w:val="18"/>
              </w:rPr>
              <w:t>Speeds date lookups, text search and vector similarity.</w:t>
            </w:r>
          </w:p>
        </w:tc>
        <w:tc>
          <w:tcPr>
            <w:tcW w:type="dxa" w:w="3053"/>
            <w:vAlign w:val="center"/>
          </w:tcPr>
          <w:p>
            <w:pPr>
              <w:spacing w:after="0"/>
            </w:pPr>
            <w:r/>
            <w:r>
              <w:rPr>
                <w:b w:val="0"/>
                <w:sz w:val="18"/>
              </w:rPr>
              <w:t>database/schema.sql</w:t>
            </w:r>
          </w:p>
        </w:tc>
      </w:tr>
      <w:tr>
        <w:trPr>
          <w:cantSplit/>
        </w:trPr>
        <w:tc>
          <w:tcPr>
            <w:tcW w:type="dxa" w:w="1656"/>
            <w:vAlign w:val="center"/>
          </w:tcPr>
          <w:p>
            <w:pPr>
              <w:spacing w:after="0"/>
            </w:pPr>
            <w:r/>
            <w:r>
              <w:rPr>
                <w:b w:val="0"/>
                <w:sz w:val="18"/>
              </w:rPr>
              <w:t>Search</w:t>
            </w:r>
          </w:p>
        </w:tc>
        <w:tc>
          <w:tcPr>
            <w:tcW w:type="dxa" w:w="4536"/>
            <w:vAlign w:val="center"/>
          </w:tcPr>
          <w:p>
            <w:pPr>
              <w:spacing w:after="0"/>
            </w:pPr>
            <w:r/>
            <w:r>
              <w:rPr>
                <w:b w:val="0"/>
                <w:sz w:val="18"/>
              </w:rPr>
              <w:t>GIN supports word search; pgvector compares embeddings.</w:t>
            </w:r>
          </w:p>
        </w:tc>
        <w:tc>
          <w:tcPr>
            <w:tcW w:type="dxa" w:w="3053"/>
            <w:vAlign w:val="center"/>
          </w:tcPr>
          <w:p>
            <w:pPr>
              <w:spacing w:after="0"/>
            </w:pPr>
            <w:r/>
            <w:r>
              <w:rPr>
                <w:b w:val="0"/>
                <w:sz w:val="18"/>
              </w:rPr>
              <w:t>app/api/search/route.js</w:t>
            </w:r>
          </w:p>
        </w:tc>
      </w:tr>
    </w:tbl>
    <w:p>
      <w:pPr>
        <w:spacing w:after="0"/>
      </w:pPr>
    </w:p>
    <w:p>
      <w:pPr>
        <w:keepLines/>
        <w:spacing w:after="140"/>
      </w:pPr>
      <w:r>
        <w:t>The Reports screen makes the required query forms visible. The category report uses GROUP BY, COUNT, SUM, AVG, HAVING and ORDER BY. Occupied days join cycles, occupancy and occupants. The above-average report uses an AVG subquery. database/queries.sql contains additional examples that can be run in psql.</w:t>
      </w:r>
    </w:p>
    <w:p>
      <w:pPr>
        <w:spacing w:after="160" w:line="240" w:lineRule="auto"/>
        <w:ind w:left="317"/>
      </w:pPr>
      <w:r>
        <w:rPr>
          <w:rFonts w:ascii="Consolas" w:hAnsi="Consolas"/>
          <w:color w:val="172F41"/>
          <w:sz w:val="17"/>
        </w:rPr>
        <w:t>SELECT category, COUNT(*) AS expense_count, SUM(amount) AS total</w:t>
        <w:br/>
      </w:r>
      <w:r>
        <w:rPr>
          <w:rFonts w:ascii="Consolas" w:hAnsi="Consolas"/>
          <w:color w:val="172F41"/>
          <w:sz w:val="17"/>
        </w:rPr>
        <w:t>FROM expense</w:t>
        <w:br/>
      </w:r>
      <w:r>
        <w:rPr>
          <w:rFonts w:ascii="Consolas" w:hAnsi="Consolas"/>
          <w:color w:val="172F41"/>
          <w:sz w:val="17"/>
        </w:rPr>
        <w:t>GROUP BY category HAVING SUM(amount) &gt; 0</w:t>
        <w:br/>
      </w:r>
      <w:r>
        <w:rPr>
          <w:rFonts w:ascii="Consolas" w:hAnsi="Consolas"/>
          <w:color w:val="172F41"/>
          <w:sz w:val="17"/>
        </w:rPr>
        <w:t>ORDER BY total DESC;</w:t>
        <w:br/>
      </w:r>
    </w:p>
    <w:p>
      <w:pPr>
        <w:pStyle w:val="Heading1"/>
        <w:keepNext/>
      </w:pPr>
      <w:r>
        <w:t>8 Validation and security</w:t>
      </w:r>
    </w:p>
    <w:p>
      <w:pPr>
        <w:pStyle w:val="ListBullet"/>
        <w:spacing w:after="60"/>
      </w:pPr>
      <w:r>
        <w:t>Database CHECK constraints reject invalid amounts, meter readings, dates and duplicate cycle or bill combinations. The occupancy trigger rejects overlapping stays.</w:t>
      </w:r>
    </w:p>
    <w:p>
      <w:pPr>
        <w:pStyle w:val="ListBullet"/>
        <w:spacing w:after="60"/>
      </w:pPr>
      <w:r>
        <w:t>API validation checks required fields, IDs, roles, cycle membership, payment limits and complete slab coverage. SQL values use parameters instead of string concatenation.</w:t>
      </w:r>
    </w:p>
    <w:p>
      <w:pPr>
        <w:pStyle w:val="ListBullet"/>
        <w:spacing w:after="60"/>
      </w:pPr>
      <w:r>
        <w:t>The database URL and session secret come from environment variables. Passwords are salted scrypt hashes. Sessions use a signed, HTTP-only cookie.</w:t>
      </w:r>
    </w:p>
    <w:p>
      <w:pPr>
        <w:pStyle w:val="ListBullet"/>
        <w:spacing w:after="60"/>
      </w:pPr>
      <w:r>
        <w:t>Receipt uploads accept only PDF, JPEG or PNG up to 5 MB and use generated filenames. Only admin can upload or index documents.</w:t>
      </w:r>
    </w:p>
    <w:p>
      <w:pPr>
        <w:pStyle w:val="Heading1"/>
        <w:keepNext/>
      </w:pPr>
      <w:r>
        <w:t>9 Setup and demonstration</w:t>
      </w:r>
    </w:p>
    <w:p>
      <w:pPr>
        <w:pStyle w:val="ListNumber"/>
        <w:spacing w:after="60"/>
      </w:pPr>
      <w:r>
        <w:t>Install Node.js 20.6 or newer and Docker Desktop with Compose. Copy .env.example to .env.local. Set SESSION_SECRET and the two DEMO passwords in .env.local.</w:t>
      </w:r>
    </w:p>
    <w:p>
      <w:pPr>
        <w:pStyle w:val="ListNumber"/>
        <w:spacing w:after="60"/>
      </w:pPr>
      <w:r>
        <w:t>Run docker compose up -d --build. This starts PostgreSQL with pgvector and the MiniLM embedding service. The first model download may take time.</w:t>
      </w:r>
    </w:p>
    <w:p>
      <w:pPr>
        <w:pStyle w:val="ListNumber"/>
        <w:spacing w:after="60"/>
      </w:pPr>
      <w:r>
        <w:t>Run npm ci and then npm run seed. The seed reads .env.local and creates a demo flat, three occupants, an October 2026 cycle, electricity slabs and two login roles.</w:t>
      </w:r>
    </w:p>
    <w:p>
      <w:pPr>
        <w:pStyle w:val="ListNumber"/>
        <w:spacing w:after="60"/>
      </w:pPr>
      <w:r>
        <w:t>Run npm run dev, open http://localhost:3000 and sign in as admin or asha with the chosen passwords.</w:t>
      </w:r>
    </w:p>
    <w:p>
      <w:pPr>
        <w:pStyle w:val="ListNumber"/>
        <w:spacing w:after="60"/>
      </w:pPr>
      <w:r>
        <w:t>Generate the demo electricity bill using readings 1000 and 1220. Show the INR 1,220 breakdown and the 31/31/16-day shares. Record payments totaling INR 1,220.</w:t>
      </w:r>
    </w:p>
    <w:p>
      <w:pPr>
        <w:pStyle w:val="ListNumber"/>
        <w:spacing w:after="60"/>
      </w:pPr>
      <w:r>
        <w:t>Add a shared expense, inspect its shares, generate settlements, then open Reports and Search to demonstrate the required SQL queries and search features.</w:t>
      </w:r>
    </w:p>
    <w:p>
      <w:pPr>
        <w:keepLines/>
        <w:spacing w:after="140"/>
      </w:pPr>
      <w:r>
        <w:t>For a fresh database, Compose runs database/schema.sql during initialization. Existing databases require the schema to be applied separately. README.md has the full commands and the Windows WebAssembly compiler workaround used for the build on this machine.</w:t>
      </w:r>
    </w:p>
    <w:p>
      <w:pPr>
        <w:pStyle w:val="Heading1"/>
        <w:keepNext/>
      </w:pPr>
      <w:r>
        <w:t>10 Testing evidence and remaining submission items</w:t>
      </w:r>
    </w:p>
    <w:tbl>
      <w:tblPr>
        <w:tblStyle w:val="TableGrid"/>
        <w:tblW w:type="auto" w:w="0"/>
        <w:jc w:val="center"/>
        <w:tblLayout w:type="fixed"/>
        <w:tblLook w:firstColumn="1" w:firstRow="1" w:lastColumn="0" w:lastRow="0" w:noHBand="0" w:noVBand="1" w:val="04A0"/>
      </w:tblPr>
      <w:tblGrid>
        <w:gridCol w:w="3312"/>
        <w:gridCol w:w="5933"/>
      </w:tblGrid>
      <w:tr>
        <w:trPr>
          <w:tblHeader w:val="true"/>
        </w:trPr>
        <w:tc>
          <w:tcPr>
            <w:tcW w:type="dxa" w:w="4968"/>
            <w:vAlign w:val="center"/>
            <w:shd w:fill="173E50"/>
          </w:tcPr>
          <w:p>
            <w:pPr>
              <w:spacing w:after="0"/>
            </w:pPr>
            <w:r/>
            <w:r>
              <w:rPr>
                <w:b/>
                <w:color w:val="FFFFFF"/>
                <w:sz w:val="18"/>
              </w:rPr>
              <w:t>Check</w:t>
            </w:r>
          </w:p>
        </w:tc>
        <w:tc>
          <w:tcPr>
            <w:tcW w:type="dxa" w:w="4968"/>
            <w:vAlign w:val="center"/>
            <w:shd w:fill="173E50"/>
          </w:tcPr>
          <w:p>
            <w:pPr>
              <w:spacing w:after="0"/>
            </w:pPr>
            <w:r/>
            <w:r>
              <w:rPr>
                <w:b/>
                <w:color w:val="FFFFFF"/>
                <w:sz w:val="18"/>
              </w:rPr>
              <w:t>Observed result</w:t>
            </w:r>
          </w:p>
        </w:tc>
      </w:tr>
      <w:tr>
        <w:trPr>
          <w:cantSplit/>
        </w:trPr>
        <w:tc>
          <w:tcPr>
            <w:tcW w:type="dxa" w:w="3312"/>
            <w:vAlign w:val="center"/>
          </w:tcPr>
          <w:p>
            <w:pPr>
              <w:spacing w:after="0"/>
            </w:pPr>
            <w:r/>
            <w:r>
              <w:rPr>
                <w:b w:val="0"/>
                <w:sz w:val="18"/>
              </w:rPr>
              <w:t>220-unit slab calculation</w:t>
            </w:r>
          </w:p>
        </w:tc>
        <w:tc>
          <w:tcPr>
            <w:tcW w:type="dxa" w:w="5933"/>
            <w:vAlign w:val="center"/>
          </w:tcPr>
          <w:p>
            <w:pPr>
              <w:spacing w:after="0"/>
            </w:pPr>
            <w:r/>
            <w:r>
              <w:rPr>
                <w:b w:val="0"/>
                <w:sz w:val="18"/>
              </w:rPr>
              <w:t>Passed: INR 1,220 including the fixed charge.</w:t>
            </w:r>
          </w:p>
        </w:tc>
      </w:tr>
      <w:tr>
        <w:trPr>
          <w:cantSplit/>
        </w:trPr>
        <w:tc>
          <w:tcPr>
            <w:tcW w:type="dxa" w:w="3312"/>
            <w:vAlign w:val="center"/>
          </w:tcPr>
          <w:p>
            <w:pPr>
              <w:spacing w:after="0"/>
            </w:pPr>
            <w:r/>
            <w:r>
              <w:rPr>
                <w:b w:val="0"/>
                <w:sz w:val="18"/>
              </w:rPr>
              <w:t>31/31/16-day allocation</w:t>
            </w:r>
          </w:p>
        </w:tc>
        <w:tc>
          <w:tcPr>
            <w:tcW w:type="dxa" w:w="5933"/>
            <w:vAlign w:val="center"/>
          </w:tcPr>
          <w:p>
            <w:pPr>
              <w:spacing w:after="0"/>
            </w:pPr>
            <w:r/>
            <w:r>
              <w:rPr>
                <w:b w:val="0"/>
                <w:sz w:val="18"/>
              </w:rPr>
              <w:t>Passed: INR 484.87, INR 484.87 and INR 250.26; exact total.</w:t>
            </w:r>
          </w:p>
        </w:tc>
      </w:tr>
      <w:tr>
        <w:trPr>
          <w:cantSplit/>
        </w:trPr>
        <w:tc>
          <w:tcPr>
            <w:tcW w:type="dxa" w:w="3312"/>
            <w:vAlign w:val="center"/>
          </w:tcPr>
          <w:p>
            <w:pPr>
              <w:spacing w:after="0"/>
            </w:pPr>
            <w:r/>
            <w:r>
              <w:rPr>
                <w:b w:val="0"/>
                <w:sz w:val="18"/>
              </w:rPr>
              <w:t>Gap in tariff slabs</w:t>
            </w:r>
          </w:p>
        </w:tc>
        <w:tc>
          <w:tcPr>
            <w:tcW w:type="dxa" w:w="5933"/>
            <w:vAlign w:val="center"/>
          </w:tcPr>
          <w:p>
            <w:pPr>
              <w:spacing w:after="0"/>
            </w:pPr>
            <w:r/>
            <w:r>
              <w:rPr>
                <w:b w:val="0"/>
                <w:sz w:val="18"/>
              </w:rPr>
              <w:t>Passed: calculation rejects the gap.</w:t>
            </w:r>
          </w:p>
        </w:tc>
      </w:tr>
      <w:tr>
        <w:trPr>
          <w:cantSplit/>
        </w:trPr>
        <w:tc>
          <w:tcPr>
            <w:tcW w:type="dxa" w:w="3312"/>
            <w:vAlign w:val="center"/>
          </w:tcPr>
          <w:p>
            <w:pPr>
              <w:spacing w:after="0"/>
            </w:pPr>
            <w:r/>
            <w:r>
              <w:rPr>
                <w:b w:val="0"/>
                <w:sz w:val="18"/>
              </w:rPr>
              <w:t>Settlement pairing example</w:t>
            </w:r>
          </w:p>
        </w:tc>
        <w:tc>
          <w:tcPr>
            <w:tcW w:type="dxa" w:w="5933"/>
            <w:vAlign w:val="center"/>
          </w:tcPr>
          <w:p>
            <w:pPr>
              <w:spacing w:after="0"/>
            </w:pPr>
            <w:r/>
            <w:r>
              <w:rPr>
                <w:b w:val="0"/>
                <w:sz w:val="18"/>
              </w:rPr>
              <w:t>Passed: exact search finds four transfers where simple greedy pairing finds five.</w:t>
            </w:r>
          </w:p>
        </w:tc>
      </w:tr>
      <w:tr>
        <w:trPr>
          <w:cantSplit/>
        </w:trPr>
        <w:tc>
          <w:tcPr>
            <w:tcW w:type="dxa" w:w="3312"/>
            <w:vAlign w:val="center"/>
          </w:tcPr>
          <w:p>
            <w:pPr>
              <w:spacing w:after="0"/>
            </w:pPr>
            <w:r/>
            <w:r>
              <w:rPr>
                <w:b w:val="0"/>
                <w:sz w:val="18"/>
              </w:rPr>
              <w:t>Next.js production build</w:t>
            </w:r>
          </w:p>
        </w:tc>
        <w:tc>
          <w:tcPr>
            <w:tcW w:type="dxa" w:w="5933"/>
            <w:vAlign w:val="center"/>
          </w:tcPr>
          <w:p>
            <w:pPr>
              <w:spacing w:after="0"/>
            </w:pPr>
            <w:r/>
            <w:r>
              <w:rPr>
                <w:b w:val="0"/>
                <w:sz w:val="18"/>
              </w:rPr>
              <w:t>Passed after using the local WebAssembly compiler fallback.</w:t>
            </w:r>
          </w:p>
        </w:tc>
      </w:tr>
      <w:tr>
        <w:trPr>
          <w:cantSplit/>
        </w:trPr>
        <w:tc>
          <w:tcPr>
            <w:tcW w:type="dxa" w:w="3312"/>
            <w:vAlign w:val="center"/>
          </w:tcPr>
          <w:p>
            <w:pPr>
              <w:spacing w:after="0"/>
            </w:pPr>
            <w:r/>
            <w:r>
              <w:rPr>
                <w:b w:val="0"/>
                <w:sz w:val="18"/>
              </w:rPr>
              <w:t>Local SQL demo</w:t>
            </w:r>
          </w:p>
        </w:tc>
        <w:tc>
          <w:tcPr>
            <w:tcW w:type="dxa" w:w="5933"/>
            <w:vAlign w:val="center"/>
          </w:tcPr>
          <w:p>
            <w:pPr>
              <w:spacing w:after="0"/>
            </w:pPr>
            <w:r/>
            <w:r>
              <w:rPr>
                <w:b w:val="0"/>
                <w:sz w:val="18"/>
              </w:rPr>
              <w:t>Passed: PostgreSQL 18 seed, admin/member sign-in and dashboard data loaded.</w:t>
            </w:r>
          </w:p>
        </w:tc>
      </w:tr>
      <w:tr>
        <w:trPr>
          <w:cantSplit/>
        </w:trPr>
        <w:tc>
          <w:tcPr>
            <w:tcW w:type="dxa" w:w="3312"/>
            <w:vAlign w:val="center"/>
          </w:tcPr>
          <w:p>
            <w:pPr>
              <w:spacing w:after="0"/>
            </w:pPr>
            <w:r/>
            <w:r>
              <w:rPr>
                <w:b w:val="0"/>
                <w:sz w:val="18"/>
              </w:rPr>
              <w:t>pgvector and MiniLM</w:t>
            </w:r>
          </w:p>
        </w:tc>
        <w:tc>
          <w:tcPr>
            <w:tcW w:type="dxa" w:w="5933"/>
            <w:vAlign w:val="center"/>
          </w:tcPr>
          <w:p>
            <w:pPr>
              <w:spacing w:after="0"/>
            </w:pPr>
            <w:r/>
            <w:r>
              <w:rPr>
                <w:b w:val="0"/>
                <w:sz w:val="18"/>
              </w:rPr>
              <w:t>Pending: no Docker or pgvector-enabled runtime was available here.</w:t>
            </w:r>
          </w:p>
        </w:tc>
      </w:tr>
    </w:tbl>
    <w:p>
      <w:pPr>
        <w:spacing w:after="0"/>
      </w:pPr>
    </w:p>
    <w:p>
      <w:pPr>
        <w:keepLines/>
        <w:spacing w:after="140"/>
      </w:pPr>
      <w:r>
        <w:t>Before the final course submission, the team should run the full Docker and pgvector demo, capture screenshots of the main screens, record manual test results, and show each member's actual Git commits. The local SQL demo did not exercise vector search. The source PDF's ER and relational diagrams should also be updated to show the added bill_share table if the final submission requires one combined diagram.</w:t>
      </w:r>
    </w:p>
    <w:p>
      <w:pPr>
        <w:pStyle w:val="Heading1"/>
        <w:keepNext/>
      </w:pPr>
      <w:r>
        <w:t>11 Contribution record and conclusion</w:t>
      </w:r>
    </w:p>
    <w:p>
      <w:pPr>
        <w:keepLines/>
        <w:spacing w:after="140"/>
      </w:pPr>
      <w:r>
        <w:t>The proposal names Dhanush S and Darshan Govekar. A suitable work split is billing SQL and UI for one member, and expenses, settlement SQL and reports for the other, with both members reviewing and testing both layers. Replace this suggested split with the real work and commit history before submission.</w:t>
      </w:r>
    </w:p>
    <w:p>
      <w:pPr>
        <w:keepLines/>
        <w:spacing w:after="140"/>
      </w:pPr>
      <w:r>
        <w:t>The base project meets the core design goal: dated occupancy is connected to tariff billing, shared expenses and settlements through related SQL tables and a usable Next.js application. Future increments can add automatic receipt OCR, account invitations, tariff editing and more integration tests after the base demo is reviewed.</w:t>
      </w:r>
    </w:p>
    <w:sectPr w:rsidR="00FC693F" w:rsidRPr="0006063C" w:rsidSect="00034616">
      <w:footerReference w:type="default" r:id="rId9"/>
      <w:pgSz w:w="12240" w:h="15840"/>
      <w:pgMar w:top="1051" w:right="1152" w:bottom="99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Calibri" w:hAnsi="Calibri"/>
      <w:color w:val="172F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2F41"/>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F6E6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